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80"/>
        <w:jc w:val="center"/>
      </w:pPr>
      <w:r>
        <w:rPr>
          <w:b/>
          <w:bCs/>
          <w:color w:val="1F4E79"/>
          <w:sz w:val="40"/>
          <w:szCs w:val="40"/>
        </w:rPr>
        <w:t xml:space="preserve">Teacher Scoring Worksheet</w:t>
      </w:r>
    </w:p>
    <w:p>
      <w:pPr>
        <w:spacing w:after="240"/>
        <w:jc w:val="center"/>
      </w:pPr>
      <w:r>
        <w:rPr>
          <w:i/>
          <w:iCs/>
          <w:color w:val="595959"/>
          <w:sz w:val="22"/>
          <w:szCs w:val="22"/>
        </w:rPr>
        <w:t xml:space="preserve">Brainstorming Engagement — Five-Dimension Matrix, Semester Aggregation &amp; Grade Band</w:t>
      </w:r>
    </w:p>
    <w:tbl>
      <w:tblPr>
        <w:tblW w:type="dxa" w:w="136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200"/>
        <w:gridCol w:w="4640"/>
        <w:gridCol w:w="2200"/>
        <w:gridCol w:w="4640"/>
      </w:tblGrid>
      <w:tr>
        <w:tc>
          <w:tcPr>
            <w:tcW w:type="dxa" w:w="22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Student Name</w:t>
            </w:r>
          </w:p>
        </w:tc>
        <w:tc>
          <w:tcPr>
            <w:tcW w:type="dxa" w:w="464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Roll No.</w:t>
            </w:r>
          </w:p>
        </w:tc>
        <w:tc>
          <w:tcPr>
            <w:tcW w:type="dxa" w:w="464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Programme</w:t>
            </w:r>
          </w:p>
        </w:tc>
        <w:tc>
          <w:tcPr>
            <w:tcW w:type="dxa" w:w="464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M.A. Psychology (CBCS)</w:t>
            </w:r>
          </w:p>
        </w:tc>
        <w:tc>
          <w:tcPr>
            <w:tcW w:type="dxa" w:w="22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Semester</w:t>
            </w:r>
          </w:p>
        </w:tc>
        <w:tc>
          <w:tcPr>
            <w:tcW w:type="dxa" w:w="464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Instructor</w:t>
            </w:r>
          </w:p>
        </w:tc>
        <w:tc>
          <w:tcPr>
            <w:tcW w:type="dxa" w:w="464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Academic Year</w:t>
            </w:r>
          </w:p>
        </w:tc>
        <w:tc>
          <w:tcPr>
            <w:tcW w:type="dxa" w:w="464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22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Moderator</w:t>
            </w:r>
          </w:p>
        </w:tc>
        <w:tc>
          <w:tcPr>
            <w:tcW w:type="dxa" w:w="464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22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Date of Aggregation</w:t>
            </w:r>
          </w:p>
        </w:tc>
        <w:tc>
          <w:tcPr>
            <w:tcW w:type="dxa" w:w="464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pStyle w:val="Heading1"/>
        <w:spacing w:after="160" w:before="240"/>
      </w:pPr>
      <w:r>
        <w:rPr>
          <w:b/>
          <w:bCs/>
          <w:color w:val="1F4E79"/>
          <w:sz w:val="32"/>
          <w:szCs w:val="32"/>
        </w:rPr>
        <w:t xml:space="preserve">Section 1 — Five-Dimension Scoring Matrix (per Unit)</w:t>
      </w:r>
    </w:p>
    <w:p>
      <w:pPr>
        <w:spacing w:after="80"/>
        <w:rPr>
          <w:sz w:val="20"/>
          <w:szCs w:val="20"/>
        </w:rPr>
      </w:pPr>
      <w:r>
        <w:rPr>
          <w:sz w:val="20"/>
          <w:szCs w:val="20"/>
        </w:rPr>
        <w:t xml:space="preserve">Enter a score of 0–4 for each dimension per unit, following the Engagement Scoring Rubric. Compute the Weighted Unit Score with:</w:t>
      </w:r>
    </w:p>
    <w:p>
      <w:pPr>
        <w:spacing w:after="160"/>
        <w:jc w:val="center"/>
      </w:pPr>
      <w:r>
        <w:rPr>
          <w:b/>
          <w:bCs/>
          <w:color w:val="1F4E79"/>
          <w:sz w:val="22"/>
          <w:szCs w:val="22"/>
        </w:rPr>
        <w:t xml:space="preserve">Weighted Unit Score = (VP × 0.20) + (WD × 0.20) + (SR × 0.25) + (OQ × 0.15) + (PE × 0.20)</w:t>
      </w:r>
    </w:p>
    <w:tbl>
      <w:tblPr>
        <w:tblW w:type="dxa" w:w="136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000"/>
        <w:gridCol w:w="1900"/>
        <w:gridCol w:w="1900"/>
        <w:gridCol w:w="1900"/>
        <w:gridCol w:w="1900"/>
        <w:gridCol w:w="1900"/>
        <w:gridCol w:w="1280"/>
      </w:tblGrid>
      <w:tr>
        <w:trPr>
          <w:tblHeader/>
        </w:trPr>
        <w:tc>
          <w:tcPr>
            <w:tcW w:type="dxa" w:w="30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Unit</w:t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Verbal Participation
(0–4) × 20%</w:t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Written Depth (Notes)
(0–4) × 20%</w:t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Self-Reflection Quality
(0–4) × 25%</w:t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Open Question Quality
(0–4) × 15%</w:t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Peer Engagement
(0–4) × 20%</w:t>
            </w:r>
          </w:p>
        </w:tc>
        <w:tc>
          <w:tcPr>
            <w:tcW w:type="dxa" w:w="128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Weighted
Unit Score
(0–4)</w:t>
            </w:r>
          </w:p>
        </w:tc>
      </w:tr>
      <w:tr>
        <w:tc>
          <w:tcPr>
            <w:tcW w:type="dxa" w:w="30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1. Foundations of Psychology</w:t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8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2. Schools &amp; Systems</w:t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8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3. Biological Bases of Behaviour</w:t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8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4. Sensation &amp; Perception</w:t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8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5. Learning</w:t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8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6. Memory &amp; Cognition</w:t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8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7. Motivation &amp; Emotion</w:t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8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8. Intelligence &amp; Creativity</w:t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8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9. Personality Theories</w:t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8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10. Developmental Psychology</w:t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8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11. Social Psychology</w:t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8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12. Abnormal Psychology</w:t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8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13. Therapies &amp; Interventions</w:t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8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14. Health &amp; Positive Psychology</w:t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8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15. Research Methods &amp; Statistics</w:t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8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16. Psychological Testing</w:t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8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0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18"/>
                <w:szCs w:val="18"/>
              </w:rPr>
              <w:t xml:space="preserve">17. Applied &amp; Indian Psychology</w:t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9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  <w:tc>
          <w:tcPr>
            <w:tcW w:type="dxa" w:w="128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r>
        <w:br w:type="page"/>
      </w:r>
    </w:p>
    <w:p>
      <w:pPr>
        <w:pStyle w:val="Heading1"/>
        <w:spacing w:after="160" w:before="240"/>
      </w:pPr>
      <w:r>
        <w:rPr>
          <w:b/>
          <w:bCs/>
          <w:color w:val="1F4E79"/>
          <w:sz w:val="32"/>
          <w:szCs w:val="32"/>
        </w:rPr>
        <w:t xml:space="preserve">Section 2 — Semester Aggregation</w:t>
      </w:r>
    </w:p>
    <w:p>
      <w:pPr>
        <w:spacing w:after="80"/>
        <w:rPr>
          <w:sz w:val="20"/>
          <w:szCs w:val="20"/>
        </w:rPr>
      </w:pPr>
      <w:r>
        <w:rPr>
          <w:sz w:val="20"/>
          <w:szCs w:val="20"/>
        </w:rPr>
        <w:t xml:space="preserve">The Semester Mean Engagement Score is the arithmetic mean of the 17 Weighted Unit Scores. The moderator may apply a bonus/penalty of up to ±0.20 (e.g., for sustained improvement, exemplary peer mentoring, or attendance issues).</w:t>
      </w:r>
    </w:p>
    <w:p>
      <w:pPr>
        <w:spacing w:after="120" w:before="120"/>
        <w:jc w:val="center"/>
      </w:pPr>
      <w:r>
        <w:rPr>
          <w:b/>
          <w:bCs/>
          <w:color w:val="1F4E79"/>
          <w:sz w:val="22"/>
          <w:szCs w:val="22"/>
        </w:rPr>
        <w:t xml:space="preserve">Final Score = (Σ Weighted Unit Scores ÷ 17) + Moderator Adjustment</w:t>
      </w:r>
    </w:p>
    <w:tbl>
      <w:tblPr>
        <w:tblW w:type="dxa" w:w="136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8000"/>
        <w:gridCol w:w="5680"/>
      </w:tblGrid>
      <w:tr>
        <w:tc>
          <w:tcPr>
            <w:tcW w:type="dxa" w:w="80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A. Sum of 17 Weighted Unit Scores</w:t>
            </w:r>
          </w:p>
        </w:tc>
        <w:tc>
          <w:tcPr>
            <w:tcW w:type="dxa" w:w="568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80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B. Semester Mean Engagement = A ÷ 17</w:t>
            </w:r>
          </w:p>
        </w:tc>
        <w:tc>
          <w:tcPr>
            <w:tcW w:type="dxa" w:w="568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80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C. Bonus / Penalty (moderator adjustment, ±0.20 max)</w:t>
            </w:r>
          </w:p>
        </w:tc>
        <w:tc>
          <w:tcPr>
            <w:tcW w:type="dxa" w:w="568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80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D. Final Semester Engagement Score = B + C</w:t>
            </w:r>
          </w:p>
        </w:tc>
        <w:tc>
          <w:tcPr>
            <w:tcW w:type="dxa" w:w="568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80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E. Grade Band (from lookup below)</w:t>
            </w:r>
          </w:p>
        </w:tc>
        <w:tc>
          <w:tcPr>
            <w:tcW w:type="dxa" w:w="568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80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/>
                <w:bCs/>
                <w:sz w:val="20"/>
                <w:szCs w:val="20"/>
              </w:rPr>
              <w:t xml:space="preserve">F. Letter Grade</w:t>
            </w:r>
          </w:p>
        </w:tc>
        <w:tc>
          <w:tcPr>
            <w:tcW w:type="dxa" w:w="568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 w:val="false"/>
                <w:bCs w:val="false"/>
                <w:sz w:val="20"/>
                <w:szCs w:val="20"/>
              </w:rPr>
              <w:t xml:space="preserve"/>
            </w:r>
          </w:p>
        </w:tc>
      </w:tr>
    </w:tbl>
    <w:p>
      <w:pPr>
        <w:pStyle w:val="Heading2"/>
        <w:spacing w:after="120" w:before="200"/>
      </w:pPr>
      <w:r>
        <w:rPr>
          <w:b/>
          <w:bCs/>
          <w:color w:val="1F4E79"/>
          <w:sz w:val="26"/>
          <w:szCs w:val="26"/>
        </w:rPr>
        <w:t xml:space="preserve">Section 3 — Grade Band Lookup</w:t>
      </w:r>
    </w:p>
    <w:p>
      <w:pPr>
        <w:spacing w:after="80"/>
        <w:rPr>
          <w:sz w:val="20"/>
          <w:szCs w:val="20"/>
        </w:rPr>
      </w:pPr>
      <w:r>
        <w:rPr>
          <w:sz w:val="20"/>
          <w:szCs w:val="20"/>
        </w:rPr>
        <w:t xml:space="preserve">Map the Final Semester Engagement Score (row D above) to the letter grade below and enter it in rows E and F.</w:t>
      </w:r>
    </w:p>
    <w:tbl>
      <w:tblPr>
        <w:tblW w:type="dxa" w:w="136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2500"/>
        <w:gridCol w:w="7680"/>
      </w:tblGrid>
      <w:tr>
        <w:trPr>
          <w:tblHeader/>
        </w:trPr>
        <w:tc>
          <w:tcPr>
            <w:tcW w:type="dxa" w:w="35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Score Range</w:t>
            </w:r>
          </w:p>
        </w:tc>
        <w:tc>
          <w:tcPr>
            <w:tcW w:type="dxa" w:w="25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Letter Grade</w:t>
            </w:r>
          </w:p>
        </w:tc>
        <w:tc>
          <w:tcPr>
            <w:tcW w:type="dxa" w:w="768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1F4E7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color w:val="FFFFFF"/>
                <w:sz w:val="20"/>
                <w:szCs w:val="20"/>
              </w:rPr>
              <w:t xml:space="preserve">Descriptor</w:t>
            </w:r>
          </w:p>
        </w:tc>
      </w:tr>
      <w:tr>
        <w:tc>
          <w:tcPr>
            <w:tcW w:type="dxa" w:w="35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3.60 – 4.00</w:t>
            </w:r>
          </w:p>
        </w:tc>
        <w:tc>
          <w:tcPr>
            <w:tcW w:type="dxa" w:w="25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O</w:t>
            </w:r>
          </w:p>
        </w:tc>
        <w:tc>
          <w:tcPr>
            <w:tcW w:type="dxa" w:w="768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Outstanding — Level 5 Synthesiser</w:t>
            </w:r>
          </w:p>
        </w:tc>
      </w:tr>
      <w:tr>
        <w:tc>
          <w:tcPr>
            <w:tcW w:type="dxa" w:w="35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3.20 – 3.59</w:t>
            </w:r>
          </w:p>
        </w:tc>
        <w:tc>
          <w:tcPr>
            <w:tcW w:type="dxa" w:w="25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A+</w:t>
            </w:r>
          </w:p>
        </w:tc>
        <w:tc>
          <w:tcPr>
            <w:tcW w:type="dxa" w:w="768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Excellent — Level 4/5</w:t>
            </w:r>
          </w:p>
        </w:tc>
      </w:tr>
      <w:tr>
        <w:tc>
          <w:tcPr>
            <w:tcW w:type="dxa" w:w="35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2.80 – 3.19</w:t>
            </w:r>
          </w:p>
        </w:tc>
        <w:tc>
          <w:tcPr>
            <w:tcW w:type="dxa" w:w="25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A</w:t>
            </w:r>
          </w:p>
        </w:tc>
        <w:tc>
          <w:tcPr>
            <w:tcW w:type="dxa" w:w="768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Very Good — Level 4 Leader</w:t>
            </w:r>
          </w:p>
        </w:tc>
      </w:tr>
      <w:tr>
        <w:tc>
          <w:tcPr>
            <w:tcW w:type="dxa" w:w="35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2.40 – 2.79</w:t>
            </w:r>
          </w:p>
        </w:tc>
        <w:tc>
          <w:tcPr>
            <w:tcW w:type="dxa" w:w="25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B+</w:t>
            </w:r>
          </w:p>
        </w:tc>
        <w:tc>
          <w:tcPr>
            <w:tcW w:type="dxa" w:w="768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Good — Level 3/4</w:t>
            </w:r>
          </w:p>
        </w:tc>
      </w:tr>
      <w:tr>
        <w:tc>
          <w:tcPr>
            <w:tcW w:type="dxa" w:w="35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2.00 – 2.39</w:t>
            </w:r>
          </w:p>
        </w:tc>
        <w:tc>
          <w:tcPr>
            <w:tcW w:type="dxa" w:w="25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B</w:t>
            </w:r>
          </w:p>
        </w:tc>
        <w:tc>
          <w:tcPr>
            <w:tcW w:type="dxa" w:w="768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Above Average — Level 3 Contributor</w:t>
            </w:r>
          </w:p>
        </w:tc>
      </w:tr>
      <w:tr>
        <w:tc>
          <w:tcPr>
            <w:tcW w:type="dxa" w:w="35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1.50 – 1.99</w:t>
            </w:r>
          </w:p>
        </w:tc>
        <w:tc>
          <w:tcPr>
            <w:tcW w:type="dxa" w:w="25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C</w:t>
            </w:r>
          </w:p>
        </w:tc>
        <w:tc>
          <w:tcPr>
            <w:tcW w:type="dxa" w:w="768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Average — Level 2/3</w:t>
            </w:r>
          </w:p>
        </w:tc>
      </w:tr>
      <w:tr>
        <w:tc>
          <w:tcPr>
            <w:tcW w:type="dxa" w:w="35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1.00 – 1.49</w:t>
            </w:r>
          </w:p>
        </w:tc>
        <w:tc>
          <w:tcPr>
            <w:tcW w:type="dxa" w:w="25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P</w:t>
            </w:r>
          </w:p>
        </w:tc>
        <w:tc>
          <w:tcPr>
            <w:tcW w:type="dxa" w:w="768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Pass — Level 2 Listener</w:t>
            </w:r>
          </w:p>
        </w:tc>
      </w:tr>
      <w:tr>
        <w:tc>
          <w:tcPr>
            <w:tcW w:type="dxa" w:w="35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0.00 – 0.99</w:t>
            </w:r>
          </w:p>
        </w:tc>
        <w:tc>
          <w:tcPr>
            <w:tcW w:type="dxa" w:w="250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F</w:t>
            </w:r>
          </w:p>
        </w:tc>
        <w:tc>
          <w:tcPr>
            <w:tcW w:type="dxa" w:w="768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Fail — Level 1 Silent / disengaged</w:t>
            </w:r>
          </w:p>
        </w:tc>
      </w:tr>
    </w:tbl>
    <w:p>
      <w:pPr>
        <w:pStyle w:val="Heading2"/>
        <w:spacing w:after="120" w:before="200"/>
      </w:pPr>
      <w:r>
        <w:rPr>
          <w:b/>
          <w:bCs/>
          <w:color w:val="1F4E79"/>
          <w:sz w:val="26"/>
          <w:szCs w:val="26"/>
        </w:rPr>
        <w:t xml:space="preserve">Section 4 — Qualitative Commentary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Strengths observed (evidence from notes / self-reflections):</w:t>
      </w:r>
    </w:p>
    <w:p>
      <w:pPr>
        <w:pBdr>
          <w:bottom w:val="single" w:color="BFBFBF" w:sz="4" w:space="4"/>
        </w:pBdr>
        <w:spacing w:after="60"/>
      </w:pPr>
      <w:r>
        <w:rPr>
          <w:sz w:val="20"/>
          <w:szCs w:val="20"/>
        </w:rPr>
        <w:t xml:space="preserve"> </w:t>
      </w:r>
    </w:p>
    <w:p>
      <w:pPr>
        <w:pBdr>
          <w:bottom w:val="single" w:color="BFBFBF" w:sz="4" w:space="4"/>
        </w:pBdr>
        <w:spacing w:after="60"/>
      </w:pPr>
      <w:r>
        <w:rPr>
          <w:sz w:val="20"/>
          <w:szCs w:val="20"/>
        </w:rPr>
        <w:t xml:space="preserve"> </w:t>
      </w:r>
    </w:p>
    <w:p>
      <w:pPr>
        <w:pBdr>
          <w:bottom w:val="single" w:color="BFBFBF" w:sz="4" w:space="4"/>
        </w:pBdr>
        <w:spacing w:after="60"/>
      </w:pPr>
      <w:r>
        <w:rPr>
          <w:sz w:val="20"/>
          <w:szCs w:val="20"/>
        </w:rPr>
        <w:t xml:space="preserve"> 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Areas for growth (specific units / dimensions):</w:t>
      </w:r>
    </w:p>
    <w:p>
      <w:pPr>
        <w:pBdr>
          <w:bottom w:val="single" w:color="BFBFBF" w:sz="4" w:space="4"/>
        </w:pBdr>
        <w:spacing w:after="60"/>
      </w:pPr>
      <w:r>
        <w:rPr>
          <w:sz w:val="20"/>
          <w:szCs w:val="20"/>
        </w:rPr>
        <w:t xml:space="preserve"> </w:t>
      </w:r>
    </w:p>
    <w:p>
      <w:pPr>
        <w:pBdr>
          <w:bottom w:val="single" w:color="BFBFBF" w:sz="4" w:space="4"/>
        </w:pBdr>
        <w:spacing w:after="60"/>
      </w:pPr>
      <w:r>
        <w:rPr>
          <w:sz w:val="20"/>
          <w:szCs w:val="20"/>
        </w:rPr>
        <w:t xml:space="preserve"> </w:t>
      </w:r>
    </w:p>
    <w:p>
      <w:pPr>
        <w:pBdr>
          <w:bottom w:val="single" w:color="BFBFBF" w:sz="4" w:space="4"/>
        </w:pBdr>
        <w:spacing w:after="60"/>
      </w:pPr>
      <w:r>
        <w:rPr>
          <w:sz w:val="20"/>
          <w:szCs w:val="20"/>
        </w:rPr>
        <w:t xml:space="preserve"> </w:t>
      </w:r>
    </w:p>
    <w:p>
      <w:pPr>
        <w:pStyle w:val="ListParagraph"/>
        <w:numPr>
          <w:ilvl w:val="0"/>
          <w:numId w:val="2"/>
        </w:numPr>
        <w:spacing w:after="60"/>
      </w:pPr>
      <w:r>
        <w:rPr>
          <w:sz w:val="20"/>
          <w:szCs w:val="20"/>
        </w:rPr>
        <w:t xml:space="preserve">Moderator justification for any ±0.20 adjustment applied in row C:</w:t>
      </w:r>
    </w:p>
    <w:p>
      <w:pPr>
        <w:pBdr>
          <w:bottom w:val="single" w:color="BFBFBF" w:sz="4" w:space="4"/>
        </w:pBdr>
        <w:spacing w:after="60"/>
      </w:pPr>
      <w:r>
        <w:rPr>
          <w:sz w:val="20"/>
          <w:szCs w:val="20"/>
        </w:rPr>
        <w:t xml:space="preserve"> </w:t>
      </w:r>
    </w:p>
    <w:p>
      <w:pPr>
        <w:pBdr>
          <w:bottom w:val="single" w:color="BFBFBF" w:sz="4" w:space="4"/>
        </w:pBdr>
        <w:spacing w:after="60"/>
      </w:pPr>
      <w:r>
        <w:rPr>
          <w:sz w:val="20"/>
          <w:szCs w:val="20"/>
        </w:rPr>
        <w:t xml:space="preserve"> </w:t>
      </w:r>
    </w:p>
    <w:p>
      <w:pPr>
        <w:pBdr>
          <w:bottom w:val="single" w:color="BFBFBF" w:sz="4" w:space="4"/>
        </w:pBdr>
        <w:spacing w:after="60"/>
      </w:pPr>
      <w:r>
        <w:rPr>
          <w:sz w:val="20"/>
          <w:szCs w:val="20"/>
        </w:rPr>
        <w:t xml:space="preserve"> </w:t>
      </w:r>
    </w:p>
    <w:p>
      <w:pPr>
        <w:pStyle w:val="Heading2"/>
        <w:spacing w:after="120" w:before="200"/>
      </w:pPr>
      <w:r>
        <w:rPr>
          <w:b/>
          <w:bCs/>
          <w:color w:val="1F4E79"/>
          <w:sz w:val="26"/>
          <w:szCs w:val="26"/>
        </w:rPr>
        <w:t xml:space="preserve">Section 5 — Signatures</w:t>
      </w:r>
    </w:p>
    <w:tbl>
      <w:tblPr>
        <w:tblW w:type="dxa" w:w="136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560"/>
        <w:gridCol w:w="4560"/>
        <w:gridCol w:w="4560"/>
      </w:tblGrid>
      <w:tr>
        <w:tc>
          <w:tcPr>
            <w:tcW w:type="dxa" w:w="456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Instructor Signature</w:t>
            </w:r>
          </w:p>
        </w:tc>
        <w:tc>
          <w:tcPr>
            <w:tcW w:type="dxa" w:w="456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Moderator Signature</w:t>
            </w:r>
          </w:p>
        </w:tc>
        <w:tc>
          <w:tcPr>
            <w:tcW w:type="dxa" w:w="456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D9E2F3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center"/>
            </w:pPr>
            <w:r>
              <w:rPr>
                <w:b/>
                <w:bCs/>
                <w:sz w:val="20"/>
                <w:szCs w:val="20"/>
              </w:rPr>
              <w:t xml:space="preserve">Head of Department</w:t>
            </w:r>
          </w:p>
        </w:tc>
      </w:tr>
      <w:tr>
        <w:tc>
          <w:tcPr>
            <w:tcW w:type="dxa" w:w="456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
</w:t>
            </w:r>
          </w:p>
        </w:tc>
        <w:tc>
          <w:tcPr>
            <w:tcW w:type="dxa" w:w="456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
</w:t>
            </w:r>
          </w:p>
        </w:tc>
        <w:tc>
          <w:tcPr>
            <w:tcW w:type="dxa" w:w="456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
</w:t>
            </w:r>
          </w:p>
        </w:tc>
      </w:tr>
      <w:tr>
        <w:tc>
          <w:tcPr>
            <w:tcW w:type="dxa" w:w="456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Date:</w:t>
            </w:r>
          </w:p>
        </w:tc>
        <w:tc>
          <w:tcPr>
            <w:tcW w:type="dxa" w:w="456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Date:</w:t>
            </w:r>
          </w:p>
        </w:tc>
        <w:tc>
          <w:tcPr>
            <w:tcW w:type="dxa" w:w="4560"/>
            <w:tcBorders>
              <w:top w:val="single" w:color="BFBFBF" w:sz="6"/>
              <w:left w:val="single" w:color="BFBFBF" w:sz="6"/>
              <w:bottom w:val="single" w:color="BFBFBF" w:sz="6"/>
              <w:right w:val="single" w:color="BFBFBF" w:sz="6"/>
            </w:tcBorders>
            <w:shd w:fill="F2F2F2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jc w:val="left"/>
            </w:pPr>
            <w:r>
              <w:rPr>
                <w:b w:val="false"/>
                <w:bCs w:val="false"/>
                <w:sz w:val="20"/>
                <w:szCs w:val="20"/>
              </w:rPr>
              <w:t xml:space="preserve">Date:</w:t>
            </w:r>
          </w:p>
        </w:tc>
      </w:tr>
    </w:tbl>
    <w:sectPr>
      <w:pgSz w:w="15840" w:h="12240" w:orient="landscape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480" w:hanging="24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"/>
    <w:basedOn w:val="Normal"/>
    <w:next w:val="Normal"/>
    <w:qFormat/>
    <w:pPr>
      <w:spacing w:after="160" w:before="240"/>
      <w:outlineLvl w:val="0"/>
    </w:pPr>
    <w:rPr>
      <w:rFonts w:ascii="Calibri" w:cs="Calibri" w:eastAsia="Calibri" w:hAnsi="Calibri"/>
      <w:b/>
      <w:bCs/>
      <w:color w:val="1F4E79"/>
      <w:sz w:val="32"/>
      <w:szCs w:val="32"/>
    </w:rPr>
  </w:style>
  <w:style w:type="paragraph" w:styleId="Heading2">
    <w:name w:val="Heading 2"/>
    <w:basedOn w:val="Normal"/>
    <w:next w:val="Normal"/>
    <w:qFormat/>
    <w:pPr>
      <w:spacing w:after="120" w:before="200"/>
      <w:outlineLvl w:val="1"/>
    </w:pPr>
    <w:rPr>
      <w:rFonts w:ascii="Calibri" w:cs="Calibri" w:eastAsia="Calibri" w:hAnsi="Calibri"/>
      <w:b/>
      <w:bCs/>
      <w:color w:val="1F4E79"/>
      <w:sz w:val="26"/>
      <w:szCs w:val="26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2026-07-02T02:29:20.978Z</dcterms:created>
  <dcterms:modified xsi:type="dcterms:W3CDTF">2026-07-02T02:29:20.978Z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