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pStyle w:val="Title"/>
        <w:jc w:val="center"/>
      </w:pPr>
      <w:r>
        <w:rPr>
          <w:b/>
          <w:bCs/>
          <w:sz w:val="36"/>
          <w:szCs w:val="36"/>
        </w:rPr>
        <w:t xml:space="preserve">Effective &amp; In-Depth Teaching Practices in Higher Education</w:t>
      </w:r>
    </w:p>
    <w:p>
      <w:pPr>
        <w:spacing w:after="200"/>
        <w:jc w:val="center"/>
      </w:pPr>
      <w:r>
        <w:rPr>
          <w:i/>
          <w:iCs/>
          <w:color w:val="555555"/>
        </w:rPr>
        <w:t xml:space="preserve">Twenty evidence-based methods that push learning beyond recall</w:t>
      </w:r>
    </w:p>
    <w:p>
      <w:pPr>
        <w:pBdr>
          <w:bottom w:val="single" w:color="2E75B6" w:sz="6" w:space="1"/>
        </w:pBdr>
      </w:pPr>
    </w:p>
    <w:p>
      <w:pPr>
        <w:spacing w:after="120"/>
      </w:pPr>
      <w:r>
        <w:t xml:space="preserve">Brainstorming is a powerful ideation tool, but deep learning requires additional practices that help students converge, test, defend, and apply their ideas. The following twenty methods are widely used in postgraduate and advanced undergraduate teaching to promote analysis, synthesis, judgement, and metacognition.</w:t>
      </w:r>
    </w:p>
    <w:p>
      <w:pPr>
        <w:pStyle w:val="Heading2"/>
      </w:pPr>
      <w:r>
        <w:t xml:space="preserve">1. Socratic Questioning</w:t>
      </w:r>
    </w:p>
    <w:p>
      <w:pPr>
        <w:spacing w:after="120"/>
      </w:pPr>
      <w:r>
        <w:t xml:space="preserve">Instructor asks layered 'why / how do you know / what if' questions rather than lecturing. Forces students to defend assumptions and expose gaps.</w:t>
      </w:r>
    </w:p>
    <w:p>
      <w:pPr>
        <w:spacing w:after="120"/>
      </w:pPr>
      <w:r>
        <w:rPr>
          <w:b/>
          <w:bCs/>
        </w:rPr>
        <w:t xml:space="preserve">Best for: </w:t>
      </w:r>
      <w:r>
        <w:t xml:space="preserve">Theory-heavy subjects (philosophy, law, psychology, economics).</w:t>
      </w:r>
    </w:p>
    <w:p>
      <w:pPr>
        <w:pStyle w:val="Heading2"/>
      </w:pPr>
      <w:r>
        <w:t xml:space="preserve">2. Problem-Based Learning (PBL)</w:t>
      </w:r>
    </w:p>
    <w:p>
      <w:pPr>
        <w:spacing w:after="120"/>
      </w:pPr>
      <w:r>
        <w:t xml:space="preserve">Students receive an ill-structured real-world problem before any lecture and must research, hypothesise, and present a solution.</w:t>
      </w:r>
    </w:p>
    <w:p>
      <w:pPr>
        <w:spacing w:after="120"/>
      </w:pPr>
      <w:r>
        <w:rPr>
          <w:b/>
          <w:bCs/>
        </w:rPr>
        <w:t xml:space="preserve">Best for: </w:t>
      </w:r>
      <w:r>
        <w:t xml:space="preserve">Medicine, engineering, management, public policy.</w:t>
      </w:r>
    </w:p>
    <w:p>
      <w:pPr>
        <w:pStyle w:val="Heading2"/>
      </w:pPr>
      <w:r>
        <w:t xml:space="preserve">3. Case-Based Teaching (Harvard method)</w:t>
      </w:r>
    </w:p>
    <w:p>
      <w:pPr>
        <w:spacing w:after="120"/>
      </w:pPr>
      <w:r>
        <w:t xml:space="preserve">Rich narrative case → cold-call discussion → decision defence. Builds judgement under ambiguity.</w:t>
      </w:r>
    </w:p>
    <w:p>
      <w:pPr>
        <w:spacing w:after="120"/>
      </w:pPr>
      <w:r>
        <w:rPr>
          <w:b/>
          <w:bCs/>
        </w:rPr>
        <w:t xml:space="preserve">Best for: </w:t>
      </w:r>
      <w:r>
        <w:t xml:space="preserve">MBA, law, clinical psychology, ethics.</w:t>
      </w:r>
    </w:p>
    <w:p>
      <w:pPr>
        <w:pStyle w:val="Heading2"/>
      </w:pPr>
      <w:r>
        <w:t xml:space="preserve">4. Flipped Classroom</w:t>
      </w:r>
    </w:p>
    <w:p>
      <w:pPr>
        <w:spacing w:after="120"/>
      </w:pPr>
      <w:r>
        <w:t xml:space="preserve">Content (video/reading) done at home; class time used for application, debate, and problem-solving with instructor as coach.</w:t>
      </w:r>
    </w:p>
    <w:p>
      <w:pPr>
        <w:spacing w:after="120"/>
      </w:pPr>
      <w:r>
        <w:rPr>
          <w:b/>
          <w:bCs/>
        </w:rPr>
        <w:t xml:space="preserve">Best for: </w:t>
      </w:r>
      <w:r>
        <w:t xml:space="preserve">Any content-heavy course where lecture time is scarce.</w:t>
      </w:r>
    </w:p>
    <w:p>
      <w:pPr>
        <w:pStyle w:val="Heading2"/>
      </w:pPr>
      <w:r>
        <w:t xml:space="preserve">5. Think–Pair–Share</w:t>
      </w:r>
    </w:p>
    <w:p>
      <w:pPr>
        <w:spacing w:after="120"/>
      </w:pPr>
      <w:r>
        <w:t xml:space="preserve">30 sec silent thinking → 2 min pair discussion → whole-class share. Cheapest way to get 100% participation, including introverts.</w:t>
      </w:r>
    </w:p>
    <w:p>
      <w:pPr>
        <w:pStyle w:val="Heading2"/>
      </w:pPr>
      <w:r>
        <w:t xml:space="preserve">6. Structured Academic Debate</w:t>
      </w:r>
    </w:p>
    <w:p>
      <w:pPr>
        <w:spacing w:after="120"/>
      </w:pPr>
      <w:r>
        <w:t xml:space="preserve">Class splits into pro/con teams on a contested claim, with rebuttal and judge roles. Deepens argumentation and evidence use.</w:t>
      </w:r>
    </w:p>
    <w:p>
      <w:pPr>
        <w:pStyle w:val="Heading2"/>
      </w:pPr>
      <w:r>
        <w:t xml:space="preserve">7. Concept Mapping</w:t>
      </w:r>
    </w:p>
    <w:p>
      <w:pPr>
        <w:spacing w:after="120"/>
      </w:pPr>
      <w:r>
        <w:t xml:space="preserve">Students visually link concepts, causes, and consequences on paper or Miro. Excellent for revealing misconceptions.</w:t>
      </w:r>
    </w:p>
    <w:p>
      <w:pPr>
        <w:pStyle w:val="Heading2"/>
      </w:pPr>
      <w:r>
        <w:t xml:space="preserve">8. Jigsaw Method (Cooperative Learning)</w:t>
      </w:r>
    </w:p>
    <w:p>
      <w:pPr>
        <w:spacing w:after="120"/>
      </w:pPr>
      <w:r>
        <w:t xml:space="preserve">Each student masters one sub-topic in an 'expert group', then teaches peers in a 'home group'. Guarantees deep processing.</w:t>
      </w:r>
    </w:p>
    <w:p>
      <w:pPr>
        <w:pStyle w:val="Heading2"/>
      </w:pPr>
      <w:r>
        <w:t xml:space="preserve">9. Role Play &amp; Simulation</w:t>
      </w:r>
    </w:p>
    <w:p>
      <w:pPr>
        <w:spacing w:after="120"/>
      </w:pPr>
      <w:r>
        <w:t xml:space="preserve">Model UN, mock parliament, clinical simulations, market-trading games. Turns abstract theory into embodied decisions.</w:t>
      </w:r>
    </w:p>
    <w:p>
      <w:pPr>
        <w:pStyle w:val="Heading2"/>
      </w:pPr>
      <w:r>
        <w:t xml:space="preserve">10. Peer Instruction (Mazur Method)</w:t>
      </w:r>
    </w:p>
    <w:p>
      <w:pPr>
        <w:spacing w:after="120"/>
      </w:pPr>
      <w:r>
        <w:t xml:space="preserve">Conceptual multiple-choice question → individual vote → peer discussion → re-vote. Learning gains 2–3× traditional lecture.</w:t>
      </w:r>
    </w:p>
    <w:p>
      <w:pPr>
        <w:pStyle w:val="Heading2"/>
      </w:pPr>
      <w:r>
        <w:t xml:space="preserve">11. Fishbowl Discussion</w:t>
      </w:r>
    </w:p>
    <w:p>
      <w:pPr>
        <w:spacing w:after="120"/>
      </w:pPr>
      <w:r>
        <w:t xml:space="preserve">Inner circle discusses; outer circle observes and critiques. Great for modelling scholarly discourse.</w:t>
      </w:r>
    </w:p>
    <w:p>
      <w:pPr>
        <w:pStyle w:val="Heading2"/>
      </w:pPr>
      <w:r>
        <w:t xml:space="preserve">12. Reflective Journals &amp; Learning Logs</w:t>
      </w:r>
    </w:p>
    <w:p>
      <w:pPr>
        <w:spacing w:after="120"/>
      </w:pPr>
      <w:r>
        <w:t xml:space="preserve">Weekly written reflection on 'what I learned / what confused me / what I'll do differently'. Builds metacognition.</w:t>
      </w:r>
    </w:p>
    <w:p>
      <w:pPr>
        <w:pStyle w:val="Heading2"/>
      </w:pPr>
      <w:r>
        <w:t xml:space="preserve">13. Project-Based Learning (PjBL)</w:t>
      </w:r>
    </w:p>
    <w:p>
      <w:pPr>
        <w:spacing w:after="120"/>
      </w:pPr>
      <w:r>
        <w:t xml:space="preserve">Semester-long authentic project with a real client or public deliverable (report, prototype, exhibition).</w:t>
      </w:r>
    </w:p>
    <w:p>
      <w:pPr>
        <w:pStyle w:val="Heading2"/>
      </w:pPr>
      <w:r>
        <w:t xml:space="preserve">14. Inquiry-Based / Research Seminars</w:t>
      </w:r>
    </w:p>
    <w:p>
      <w:pPr>
        <w:spacing w:after="120"/>
      </w:pPr>
      <w:r>
        <w:t xml:space="preserve">Students formulate their own research question, gather data, and present findings. Standard in postgraduate work.</w:t>
      </w:r>
    </w:p>
    <w:p>
      <w:pPr>
        <w:pStyle w:val="Heading2"/>
      </w:pPr>
      <w:r>
        <w:t xml:space="preserve">15. Design Thinking Workshops</w:t>
      </w:r>
    </w:p>
    <w:p>
      <w:pPr>
        <w:spacing w:after="120"/>
      </w:pPr>
      <w:r>
        <w:t xml:space="preserve">Empathise → Define → Ideate → Prototype → Test. Excellent for interdisciplinary problem framing.</w:t>
      </w:r>
    </w:p>
    <w:p>
      <w:pPr>
        <w:pStyle w:val="Heading2"/>
      </w:pPr>
      <w:r>
        <w:t xml:space="preserve">16. Gallery Walk</w:t>
      </w:r>
    </w:p>
    <w:p>
      <w:pPr>
        <w:spacing w:after="120"/>
      </w:pPr>
      <w:r>
        <w:t xml:space="preserve">Group outputs posted on walls; peers circulate leaving sticky-note critique. Democratises feedback.</w:t>
      </w:r>
    </w:p>
    <w:p>
      <w:pPr>
        <w:pStyle w:val="Heading2"/>
      </w:pPr>
      <w:r>
        <w:t xml:space="preserve">17. World Café</w:t>
      </w:r>
    </w:p>
    <w:p>
      <w:pPr>
        <w:spacing w:after="120"/>
      </w:pPr>
      <w:r>
        <w:t xml:space="preserve">Rotating small-group conversations on the same set of questions; ideas cross-pollinate across tables.</w:t>
      </w:r>
    </w:p>
    <w:p>
      <w:pPr>
        <w:pStyle w:val="Heading2"/>
      </w:pPr>
      <w:r>
        <w:t xml:space="preserve">18. Six Thinking Hats (de Bono)</w:t>
      </w:r>
    </w:p>
    <w:p>
      <w:pPr>
        <w:spacing w:after="120"/>
      </w:pPr>
      <w:r>
        <w:t xml:space="preserve">Structured perspective-taking (facts, feelings, risks, benefits, creativity, process). Pairs beautifully with brainstorming.</w:t>
      </w:r>
    </w:p>
    <w:p>
      <w:pPr>
        <w:pStyle w:val="Heading2"/>
      </w:pPr>
      <w:r>
        <w:t xml:space="preserve">19. Micro-Teaching</w:t>
      </w:r>
    </w:p>
    <w:p>
      <w:pPr>
        <w:spacing w:after="120"/>
      </w:pPr>
      <w:r>
        <w:t xml:space="preserve">Students teach a 5–10 min segment to peers and receive video-recorded feedback. Powerful in teacher-education and clinical training.</w:t>
      </w:r>
    </w:p>
    <w:p>
      <w:pPr>
        <w:pStyle w:val="Heading2"/>
      </w:pPr>
      <w:r>
        <w:t xml:space="preserve">20. Assessment as Learning</w:t>
      </w:r>
    </w:p>
    <w:p>
      <w:pPr>
        <w:spacing w:after="120"/>
      </w:pPr>
      <w:r>
        <w:t xml:space="preserve">Rubric co-creation, self-assessment, peer review, exam-wrapper reflections — assessment becomes a teaching tool, not just a grading tool.</w:t>
      </w:r>
    </w:p>
    <w:p>
      <w:pPr>
        <w:pBdr>
          <w:bottom w:val="single" w:color="2E75B6" w:sz="6" w:space="1"/>
        </w:pBdr>
      </w:pPr>
    </w:p>
    <w:p>
      <w:pPr>
        <w:pStyle w:val="Heading1"/>
      </w:pPr>
      <w:r>
        <w:t xml:space="preserve">How These Differ from Plain Brainstorming</w:t>
      </w:r>
    </w:p>
    <w:p>
      <w:pPr>
        <w:spacing w:after="120"/>
      </w:pPr>
      <w:r>
        <w:t xml:space="preserve">Brainstorming generates divergent ideas rapidly. The methods above then converge, test, defend, or apply those ideas — which is where deep learning actually happens. The strongest postgraduate courses chain them together, for example:</w:t>
      </w:r>
    </w:p>
    <w:p>
      <w:pPr>
        <w:spacing w:after="120"/>
      </w:pPr>
      <w:r>
        <w:rPr>
          <w:b/>
          <w:bCs/>
          <w:i/>
          <w:iCs/>
        </w:rPr>
        <w:t xml:space="preserve">Brainstorm → Concept Map → Case Discussion → Debate → Reflective Journal → Project</w:t>
      </w:r>
    </w:p>
    <w:p>
      <w:pPr>
        <w:pStyle w:val="Heading1"/>
      </w:pPr>
      <w:r>
        <w:t xml:space="preserve">Choosing the Right Method</w:t>
      </w:r>
    </w:p>
    <w:p>
      <w:pPr>
        <w:pStyle w:val="ListParagraph"/>
        <w:numPr>
          <w:ilvl w:val="0"/>
          <w:numId w:val="2"/>
        </w:numPr>
      </w:pPr>
      <w:r>
        <w:t xml:space="preserve">Match method to learning outcome — recall vs. analysis vs. creation vs. metacognition.</w:t>
      </w:r>
    </w:p>
    <w:p>
      <w:pPr>
        <w:pStyle w:val="ListParagraph"/>
        <w:numPr>
          <w:ilvl w:val="0"/>
          <w:numId w:val="2"/>
        </w:numPr>
      </w:pPr>
      <w:r>
        <w:t xml:space="preserve">Chain methods across a session: divergent (brainstorm) → convergent (debate/case) → reflective (journal).</w:t>
      </w:r>
    </w:p>
    <w:p>
      <w:pPr>
        <w:pStyle w:val="ListParagraph"/>
        <w:numPr>
          <w:ilvl w:val="0"/>
          <w:numId w:val="2"/>
        </w:numPr>
      </w:pPr>
      <w:r>
        <w:t xml:space="preserve">Front-load structure for large classes (Think–Pair–Share, Peer Instruction, Jigsaw).</w:t>
      </w:r>
    </w:p>
    <w:p>
      <w:pPr>
        <w:pStyle w:val="ListParagraph"/>
        <w:numPr>
          <w:ilvl w:val="0"/>
          <w:numId w:val="2"/>
        </w:numPr>
      </w:pPr>
      <w:r>
        <w:t xml:space="preserve">Use assessment-as-learning to close the loop and make thinking visible.</w:t>
      </w:r>
    </w:p>
    <w:p>
      <w:pPr>
        <w:pStyle w:val="ListParagraph"/>
        <w:numPr>
          <w:ilvl w:val="0"/>
          <w:numId w:val="2"/>
        </w:numPr>
      </w:pPr>
      <w:r>
        <w:t xml:space="preserve">Rotate methods across the semester to sustain engagement and reach diverse learners.</w:t>
      </w:r>
    </w:p>
    <w:sectPr>
      <w:pgSz w:w="12240" w:h="15840"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abstractNum w:abstractNumId="2" w15:restartNumberingAfterBreak="0">
    <w:multiLevelType w:val="hybridMultilevel"/>
    <w:lvl w:ilvl="0" w15:tentative="1">
      <w:start w:val="1"/>
      <w:numFmt w:val="bullet"/>
      <w:lvlText w:val="•"/>
      <w:lvlJc w:val="left"/>
      <w:pPr>
        <w:ind w:left="720" w:hanging="360"/>
      </w:pPr>
    </w:lvl>
  </w:abstractNum>
  <w:num w:numId="1">
    <w:abstractNumId w:val="1"/>
    <w:lvlOverride w:ilvl="0">
      <w:startOverride w:val="1"/>
    </w:lvlOverride>
  </w:num>
  <w:num w:numId="2">
    <w:abstractNumId w:val="2"/>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cs="Calibri" w:eastAsia="Calibri" w:hAnsi="Calibri"/>
        <w:sz w:val="22"/>
        <w:szCs w:val="22"/>
      </w:rPr>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 w:type="paragraph" w:styleId="Title">
    <w:name w:val="Title"/>
    <w:basedOn w:val="Normal"/>
    <w:next w:val="Normal"/>
    <w:qFormat/>
    <w:pPr>
      <w:spacing w:after="120"/>
    </w:pPr>
    <w:rPr>
      <w:rFonts w:ascii="Calibri" w:cs="Calibri" w:eastAsia="Calibri" w:hAnsi="Calibri"/>
      <w:b/>
      <w:bCs/>
      <w:color w:val="1F3864"/>
      <w:sz w:val="36"/>
      <w:szCs w:val="36"/>
    </w:rPr>
  </w:style>
  <w:style w:type="paragraph" w:styleId="Heading1">
    <w:name w:val="Heading 1"/>
    <w:basedOn w:val="Normal"/>
    <w:next w:val="Normal"/>
    <w:qFormat/>
    <w:pPr>
      <w:spacing w:after="140" w:before="280"/>
      <w:outlineLvl w:val="0"/>
    </w:pPr>
    <w:rPr>
      <w:rFonts w:ascii="Calibri" w:cs="Calibri" w:eastAsia="Calibri" w:hAnsi="Calibri"/>
      <w:b/>
      <w:bCs/>
      <w:color w:val="1F3864"/>
      <w:sz w:val="28"/>
      <w:szCs w:val="28"/>
    </w:rPr>
  </w:style>
  <w:style w:type="paragraph" w:styleId="Heading2">
    <w:name w:val="Heading 2"/>
    <w:basedOn w:val="Normal"/>
    <w:next w:val="Normal"/>
    <w:qFormat/>
    <w:pPr>
      <w:spacing w:after="80" w:before="200"/>
      <w:outlineLvl w:val="1"/>
    </w:pPr>
    <w:rPr>
      <w:rFonts w:ascii="Calibri" w:cs="Calibri" w:eastAsia="Calibri" w:hAnsi="Calibri"/>
      <w:b/>
      <w:bCs/>
      <w:color w:val="2E75B6"/>
      <w:sz w:val="24"/>
      <w:szCs w:val="24"/>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2026-07-02T02:38:28.685Z</dcterms:created>
  <dcterms:modified xsi:type="dcterms:W3CDTF">2026-07-02T02:38:28.685Z</dcterms:modified>
</cp:coreProperties>
</file>

<file path=docProps/custom.xml><?xml version="1.0" encoding="utf-8"?>
<Properties xmlns="http://schemas.openxmlformats.org/officeDocument/2006/custom-properties" xmlns:vt="http://schemas.openxmlformats.org/officeDocument/2006/docPropsVTypes"/>
</file>