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800"/>
      </w:pPr>
      <w:r>
        <w:rPr>
          <w:rFonts w:ascii="Calibri" w:cs="Calibri" w:eastAsia="Calibri" w:hAnsi="Calibri"/>
          <w:b/>
          <w:bCs/>
          <w:color w:val="C9A227"/>
          <w:spacing w:val="80"/>
          <w:sz w:val="20"/>
          <w:szCs w:val="20"/>
        </w:rPr>
        <w:t xml:space="preserve">M.A. PSYCHOLOGY  •  CBCS</w:t>
      </w:r>
    </w:p>
    <w:p>
      <w:r>
        <w:rPr>
          <w:rFonts w:ascii="Calibri" w:cs="Calibri" w:eastAsia="Calibri" w:hAnsi="Calibri"/>
          <w:b/>
          <w:bCs/>
          <w:color w:val="1B2A4E"/>
          <w:sz w:val="52"/>
          <w:szCs w:val="52"/>
        </w:rPr>
        <w:t xml:space="preserve">Brainstorming Engagement</w:t>
      </w:r>
    </w:p>
    <w:p>
      <w:r>
        <w:rPr>
          <w:rFonts w:ascii="Calibri" w:cs="Calibri" w:eastAsia="Calibri" w:hAnsi="Calibri"/>
          <w:b/>
          <w:bCs/>
          <w:color w:val="1B2A4E"/>
          <w:sz w:val="52"/>
          <w:szCs w:val="52"/>
        </w:rPr>
        <w:t xml:space="preserve">Scoring Rubric</w:t>
      </w:r>
    </w:p>
    <w:p>
      <w:pPr>
        <w:spacing w:after="400" w:before="200"/>
      </w:pPr>
      <w:r>
        <w:rPr>
          <w:rFonts w:ascii="Calibri" w:cs="Calibri" w:eastAsia="Calibri" w:hAnsi="Calibri"/>
          <w:i/>
          <w:iCs/>
          <w:color w:val="1F2937"/>
          <w:sz w:val="24"/>
          <w:szCs w:val="24"/>
        </w:rPr>
        <w:t xml:space="preserve">Five-Level Descriptors  •  Observable Indicators  •  Evidence from Sample Self-Reflections</w:t>
      </w:r>
    </w:p>
    <w:p>
      <w:pPr>
        <w:pBdr>
          <w:bottom w:val="single" w:color="C9A227" w:sz="12" w:space="2"/>
        </w:pBdr>
        <w:spacing w:after="80"/>
      </w:pPr>
      <w:r>
        <w:rPr>
          <w:rFonts w:ascii="Calibri" w:cs="Calibri" w:eastAsia="Calibri" w:hAnsi="Calibri"/>
        </w:rPr>
        <w:t xml:space="preserve"/>
      </w:r>
    </w:p>
    <w:p>
      <w:pPr>
        <w:spacing w:after="120" w:before="400"/>
      </w:pPr>
      <w:r>
        <w:rPr>
          <w:rFonts w:ascii="Calibri" w:cs="Calibri" w:eastAsia="Calibri" w:hAnsi="Calibri"/>
          <w:b/>
          <w:bCs/>
          <w:color w:val="1B2A4E"/>
          <w:spacing w:val="60"/>
          <w:sz w:val="20"/>
          <w:szCs w:val="20"/>
        </w:rPr>
        <w:t xml:space="preserve">PURPOSE</w:t>
      </w:r>
    </w:p>
    <w:p>
      <w:pPr>
        <w:spacing w:after="200"/>
      </w:pPr>
      <w:r>
        <w:rPr>
          <w:rFonts w:ascii="Calibri" w:cs="Calibri" w:eastAsia="Calibri" w:hAnsi="Calibri"/>
          <w:color w:val="1F2937"/>
          <w:sz w:val="22"/>
          <w:szCs w:val="22"/>
        </w:rPr>
        <w:t xml:space="preserve">This rubric defines the five engagement levels used on every Student Activity Card. Each level is anchored to observable classroom and written behaviour and illustrated with real evidence drawn from the sample self-reflections in the Sample Completed Edition.</w:t>
      </w:r>
    </w:p>
    <w:p>
      <w:pPr>
        <w:spacing w:after="120" w:before="120"/>
      </w:pPr>
      <w:r>
        <w:rPr>
          <w:rFonts w:ascii="Calibri" w:cs="Calibri" w:eastAsia="Calibri" w:hAnsi="Calibri"/>
          <w:b/>
          <w:bCs/>
          <w:color w:val="1B2A4E"/>
          <w:spacing w:val="60"/>
          <w:sz w:val="20"/>
          <w:szCs w:val="20"/>
        </w:rPr>
        <w:t xml:space="preserve">HOW TO USE IT</w:t>
      </w:r>
    </w:p>
    <w:p>
      <w:pPr>
        <w:spacing w:after="60"/>
      </w:pPr>
      <w:r>
        <w:rPr>
          <w:rFonts w:ascii="Calibri" w:cs="Calibri" w:eastAsia="Calibri" w:hAnsi="Calibri"/>
          <w:color w:val="1F2937"/>
          <w:sz w:val="22"/>
          <w:szCs w:val="22"/>
        </w:rPr>
        <w:t xml:space="preserve">• Score each student against the five dimensions on the matrix, then assign the level that best fits the majority of dimensions.</w:t>
      </w:r>
    </w:p>
    <w:p>
      <w:pPr>
        <w:spacing w:after="60"/>
      </w:pPr>
      <w:r>
        <w:rPr>
          <w:rFonts w:ascii="Calibri" w:cs="Calibri" w:eastAsia="Calibri" w:hAnsi="Calibri"/>
          <w:color w:val="1F2937"/>
          <w:sz w:val="22"/>
          <w:szCs w:val="22"/>
        </w:rPr>
        <w:t xml:space="preserve">• When a student straddles two levels, cite the specific evidence (a written line, a spoken moment) that decided the call.</w:t>
      </w:r>
    </w:p>
    <w:p>
      <w:pPr>
        <w:spacing w:after="60"/>
      </w:pPr>
      <w:r>
        <w:rPr>
          <w:rFonts w:ascii="Calibri" w:cs="Calibri" w:eastAsia="Calibri" w:hAnsi="Calibri"/>
          <w:color w:val="1F2937"/>
          <w:sz w:val="22"/>
          <w:szCs w:val="22"/>
        </w:rPr>
        <w:t xml:space="preserve">• Share the rubric with students at the start of the semester — never after the first assessment.</w:t>
      </w:r>
    </w:p>
    <w:p>
      <w:pPr>
        <w:spacing w:after="60"/>
      </w:pPr>
      <w:r>
        <w:rPr>
          <w:rFonts w:ascii="Calibri" w:cs="Calibri" w:eastAsia="Calibri" w:hAnsi="Calibri"/>
          <w:color w:val="1F2937"/>
          <w:sz w:val="22"/>
          <w:szCs w:val="22"/>
        </w:rPr>
        <w:t xml:space="preserve">• Total per-session score = level (0–4 marks). Semester engagement = mean across sessions, dropping the lowest one.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c>
          <w:tcPr>
            <w:tcW w:type="dxa" w:w="6800"/>
            <w:tcBorders>
              <w:top w:val="single" w:color="D1D5DB" w:sz="6"/>
              <w:left w:val="single" w:color="D1D5DB" w:sz="6"/>
              <w:bottom w:val="single" w:color="D1D5DB" w:sz="6"/>
              <w:right w:val="none" w:color="FFFFFF" w:sz="0"/>
            </w:tcBorders>
            <w:shd w:fill="1B2A4E" w:color="auto" w:val="clear"/>
            <w:tcMar>
              <w:top w:type="dxa" w:w="180"/>
              <w:left w:type="dxa" w:w="220"/>
              <w:bottom w:type="dxa" w:w="180"/>
              <w:right w:type="dxa" w:w="180"/>
            </w:tcMar>
          </w:tcPr>
          <w:p>
            <w:r>
              <w:rPr>
                <w:rFonts w:ascii="Calibri" w:cs="Calibri" w:eastAsia="Calibri" w:hAnsi="Calibri"/>
                <w:b/>
                <w:bCs/>
                <w:color w:val="C9A227"/>
                <w:spacing w:val="60"/>
                <w:sz w:val="16"/>
                <w:szCs w:val="16"/>
              </w:rPr>
              <w:t xml:space="preserve">M.A. PSYCHOLOGY  •  CBCS</w:t>
            </w:r>
          </w:p>
          <w:p>
            <w:pPr>
              <w:spacing w:before="40"/>
            </w:pPr>
            <w:r>
              <w:rPr>
                <w:rFonts w:ascii="Calibri" w:cs="Calibri" w:eastAsia="Calibri" w:hAnsi="Calibri"/>
                <w:b/>
                <w:bCs/>
                <w:color w:val="FFFFFF"/>
                <w:sz w:val="30"/>
                <w:szCs w:val="30"/>
              </w:rPr>
              <w:t xml:space="preserve">Level Descriptors</w:t>
            </w:r>
          </w:p>
          <w:p>
            <w:pPr>
              <w:spacing w:before="20"/>
            </w:pPr>
            <w:r>
              <w:rPr>
                <w:rFonts w:ascii="Calibri" w:cs="Calibri" w:eastAsia="Calibri" w:hAnsi="Calibri"/>
                <w:i/>
                <w:iCs/>
                <w:color w:val="E5E7EB"/>
                <w:sz w:val="20"/>
                <w:szCs w:val="20"/>
              </w:rPr>
              <w:t xml:space="preserve">Full definition and observable indicators for each of the five ratings</w:t>
            </w:r>
          </w:p>
        </w:tc>
        <w:tc>
          <w:tcPr>
            <w:tcW w:type="dxa" w:w="2560"/>
            <w:tcBorders>
              <w:top w:val="single" w:color="D1D5DB" w:sz="6"/>
              <w:left w:val="none" w:color="FFFFFF" w:sz="0"/>
              <w:bottom w:val="single" w:color="D1D5DB" w:sz="6"/>
              <w:right w:val="single" w:color="D1D5DB" w:sz="6"/>
            </w:tcBorders>
            <w:shd w:fill="C9A227" w:color="auto" w:val="clear"/>
            <w:tcMar>
              <w:top w:type="dxa" w:w="180"/>
              <w:left w:type="dxa" w:w="180"/>
              <w:bottom w:type="dxa" w:w="180"/>
              <w:right w:type="dxa" w:w="180"/>
            </w:tcMar>
          </w:tcPr>
          <w:p>
            <w:pPr>
              <w:jc w:val="right"/>
            </w:pPr>
            <w:r>
              <w:rPr>
                <w:rFonts w:ascii="Calibri" w:cs="Calibri" w:eastAsia="Calibri" w:hAnsi="Calibri"/>
                <w:b/>
                <w:bCs/>
                <w:color w:val="1B2A4E"/>
                <w:spacing w:val="40"/>
                <w:sz w:val="16"/>
                <w:szCs w:val="16"/>
              </w:rPr>
              <w:t xml:space="preserve">SCORING RUBRIC</w:t>
            </w:r>
          </w:p>
          <w:p>
            <w:pPr>
              <w:spacing w:before="40"/>
              <w:jc w:val="right"/>
            </w:pPr>
            <w:r>
              <w:rPr>
                <w:rFonts w:ascii="Calibri" w:cs="Calibri" w:eastAsia="Calibri" w:hAnsi="Calibri"/>
                <w:i/>
                <w:iCs/>
                <w:color w:val="1B2A4E"/>
                <w:sz w:val="18"/>
                <w:szCs w:val="18"/>
              </w:rPr>
              <w:t xml:space="preserve">For Instructors</w:t>
            </w:r>
          </w:p>
        </w:tc>
      </w:tr>
    </w:tbl>
    <w:p>
      <w:pPr>
        <w:spacing w:after="20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D1D5DB" w:sz="6"/>
              <w:left w:val="single" w:color="D1D5DB" w:sz="6"/>
              <w:bottom w:val="single" w:color="D1D5DB" w:sz="6"/>
              <w:right w:val="single" w:color="D1D5DB" w:sz="6"/>
            </w:tcBorders>
            <w:shd w:fill="B91C1C" w:color="auto" w:val="clear"/>
            <w:tcMar>
              <w:top w:type="dxa" w:w="200"/>
              <w:left w:type="dxa" w:w="100"/>
              <w:bottom w:type="dxa" w:w="200"/>
              <w:right w:type="dxa" w:w="100"/>
            </w:tcMar>
            <w:vAlign w:val="center"/>
          </w:tcPr>
          <w:p>
            <w:pPr>
              <w:jc w:val="center"/>
            </w:pPr>
            <w:r>
              <w:rPr>
                <w:rFonts w:ascii="Calibri" w:cs="Calibri" w:eastAsia="Calibri" w:hAnsi="Calibri"/>
                <w:b/>
                <w:bCs/>
                <w:color w:val="FFFFFF"/>
                <w:sz w:val="72"/>
                <w:szCs w:val="72"/>
              </w:rPr>
              <w:t xml:space="preserve">1</w:t>
            </w:r>
          </w:p>
          <w:p>
            <w:pPr>
              <w:spacing w:before="40"/>
              <w:jc w:val="center"/>
            </w:pPr>
            <w:r>
              <w:rPr>
                <w:rFonts w:ascii="Calibri" w:cs="Calibri" w:eastAsia="Calibri" w:hAnsi="Calibri"/>
                <w:b/>
                <w:bCs/>
                <w:color w:val="FFFFFF"/>
                <w:spacing w:val="80"/>
                <w:sz w:val="16"/>
                <w:szCs w:val="16"/>
              </w:rPr>
              <w:t xml:space="preserve">SILENT</w:t>
            </w:r>
          </w:p>
          <w:p>
            <w:pPr>
              <w:spacing w:before="60"/>
              <w:jc w:val="center"/>
            </w:pPr>
            <w:r>
              <w:rPr>
                <w:rFonts w:ascii="Calibri" w:cs="Calibri" w:eastAsia="Calibri" w:hAnsi="Calibri"/>
                <w:b/>
                <w:bCs/>
                <w:color w:val="FFFFFF"/>
                <w:sz w:val="16"/>
                <w:szCs w:val="16"/>
              </w:rPr>
              <w:t xml:space="preserve">0 marks</w:t>
            </w:r>
          </w:p>
        </w:tc>
        <w:tc>
          <w:tcPr>
            <w:tcW w:type="dxa" w:w="7960"/>
            <w:tcBorders>
              <w:top w:val="single" w:color="D1D5DB" w:sz="6"/>
              <w:left w:val="single" w:color="D1D5DB" w:sz="6"/>
              <w:bottom w:val="single" w:color="D1D5DB" w:sz="6"/>
              <w:right w:val="single" w:color="D1D5DB" w:sz="6"/>
            </w:tcBorders>
            <w:shd w:fill="F8FAFC" w:color="auto" w:val="clear"/>
            <w:tcMar>
              <w:top w:type="dxa" w:w="180"/>
              <w:left w:type="dxa" w:w="220"/>
              <w:bottom w:type="dxa" w:w="200"/>
              <w:right w:type="dxa" w:w="220"/>
            </w:tcMar>
          </w:tcPr>
          <w:p>
            <w:r>
              <w:rPr>
                <w:rFonts w:ascii="Calibri" w:cs="Calibri" w:eastAsia="Calibri" w:hAnsi="Calibri"/>
                <w:b/>
                <w:bCs/>
                <w:color w:val="B91C1C"/>
                <w:spacing w:val="40"/>
                <w:sz w:val="16"/>
                <w:szCs w:val="16"/>
              </w:rPr>
              <w:t xml:space="preserve">0 – Not yet meeting expectations</w:t>
            </w:r>
          </w:p>
          <w:p>
            <w:pPr>
              <w:spacing w:after="80" w:before="80"/>
            </w:pPr>
            <w:r>
              <w:rPr>
                <w:rFonts w:ascii="Calibri" w:cs="Calibri" w:eastAsia="Calibri" w:hAnsi="Calibri"/>
                <w:b/>
                <w:bCs/>
                <w:color w:val="1B2A4E"/>
                <w:sz w:val="16"/>
                <w:szCs w:val="16"/>
              </w:rPr>
              <w:t xml:space="preserve">Descriptor  </w:t>
            </w:r>
            <w:r>
              <w:rPr>
                <w:rFonts w:ascii="Calibri" w:cs="Calibri" w:eastAsia="Calibri" w:hAnsi="Calibri"/>
                <w:color w:val="1F2937"/>
                <w:sz w:val="20"/>
                <w:szCs w:val="20"/>
              </w:rPr>
              <w:t xml:space="preserve">Physically present but does not speak, does not visibly listen, and does not produce written responses when invited. Body language signals disengagement (phone, side-conversations, closed posture).</w:t>
            </w:r>
          </w:p>
          <w:p>
            <w:pPr>
              <w:spacing w:after="40" w:before="80"/>
            </w:pPr>
            <w:r>
              <w:rPr>
                <w:rFonts w:ascii="Calibri" w:cs="Calibri" w:eastAsia="Calibri" w:hAnsi="Calibri"/>
                <w:b/>
                <w:bCs/>
                <w:color w:val="1B2A4E"/>
                <w:spacing w:val="60"/>
                <w:sz w:val="14"/>
                <w:szCs w:val="14"/>
              </w:rPr>
              <w:t xml:space="preserve">OBSERVABLE INDICATORS</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No verbal contribution in the 60-minute session.</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Written fields left blank or completed with a single-word placeholder.</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Self-reflection reproduces the prompt without answering it.</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No evidence of tracking the discussion (no eye contact with speaker, no note-taking).</w:t>
            </w:r>
          </w:p>
          <w:p>
            <w:pPr>
              <w:spacing w:after="40" w:before="120"/>
            </w:pPr>
            <w:r>
              <w:rPr>
                <w:rFonts w:ascii="Calibri" w:cs="Calibri" w:eastAsia="Calibri" w:hAnsi="Calibri"/>
                <w:b/>
                <w:bCs/>
                <w:color w:val="1B2A4E"/>
                <w:spacing w:val="60"/>
                <w:sz w:val="14"/>
                <w:szCs w:val="14"/>
              </w:rPr>
              <w:t xml:space="preserve">EVIDENCE FROM SAMPLE SELF-REFLECTIONS</w:t>
            </w:r>
          </w:p>
          <w:p>
            <w:r>
              <w:rPr>
                <w:rFonts w:ascii="Calibri" w:cs="Calibri" w:eastAsia="Calibri" w:hAnsi="Calibri"/>
                <w:i/>
                <w:iCs/>
                <w:color w:val="1F2937"/>
                <w:sz w:val="19"/>
                <w:szCs w:val="19"/>
              </w:rPr>
              <w:t xml:space="preserve">Before: (blank).  After: (blank).  Question: (blank).</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D1D5DB" w:sz="6"/>
              <w:left w:val="single" w:color="D1D5DB" w:sz="6"/>
              <w:bottom w:val="single" w:color="D1D5DB" w:sz="6"/>
              <w:right w:val="single" w:color="D1D5DB" w:sz="6"/>
            </w:tcBorders>
            <w:shd w:fill="B45309" w:color="auto" w:val="clear"/>
            <w:tcMar>
              <w:top w:type="dxa" w:w="200"/>
              <w:left w:type="dxa" w:w="100"/>
              <w:bottom w:type="dxa" w:w="200"/>
              <w:right w:type="dxa" w:w="100"/>
            </w:tcMar>
            <w:vAlign w:val="center"/>
          </w:tcPr>
          <w:p>
            <w:pPr>
              <w:jc w:val="center"/>
            </w:pPr>
            <w:r>
              <w:rPr>
                <w:rFonts w:ascii="Calibri" w:cs="Calibri" w:eastAsia="Calibri" w:hAnsi="Calibri"/>
                <w:b/>
                <w:bCs/>
                <w:color w:val="FFFFFF"/>
                <w:sz w:val="72"/>
                <w:szCs w:val="72"/>
              </w:rPr>
              <w:t xml:space="preserve">2</w:t>
            </w:r>
          </w:p>
          <w:p>
            <w:pPr>
              <w:spacing w:before="40"/>
              <w:jc w:val="center"/>
            </w:pPr>
            <w:r>
              <w:rPr>
                <w:rFonts w:ascii="Calibri" w:cs="Calibri" w:eastAsia="Calibri" w:hAnsi="Calibri"/>
                <w:b/>
                <w:bCs/>
                <w:color w:val="FFFFFF"/>
                <w:spacing w:val="80"/>
                <w:sz w:val="16"/>
                <w:szCs w:val="16"/>
              </w:rPr>
              <w:t xml:space="preserve">LISTENING</w:t>
            </w:r>
          </w:p>
          <w:p>
            <w:pPr>
              <w:spacing w:before="60"/>
              <w:jc w:val="center"/>
            </w:pPr>
            <w:r>
              <w:rPr>
                <w:rFonts w:ascii="Calibri" w:cs="Calibri" w:eastAsia="Calibri" w:hAnsi="Calibri"/>
                <w:b/>
                <w:bCs/>
                <w:color w:val="FFFFFF"/>
                <w:sz w:val="16"/>
                <w:szCs w:val="16"/>
              </w:rPr>
              <w:t xml:space="preserve">1 mark</w:t>
            </w:r>
          </w:p>
        </w:tc>
        <w:tc>
          <w:tcPr>
            <w:tcW w:type="dxa" w:w="7960"/>
            <w:tcBorders>
              <w:top w:val="single" w:color="D1D5DB" w:sz="6"/>
              <w:left w:val="single" w:color="D1D5DB" w:sz="6"/>
              <w:bottom w:val="single" w:color="D1D5DB" w:sz="6"/>
              <w:right w:val="single" w:color="D1D5DB" w:sz="6"/>
            </w:tcBorders>
            <w:shd w:fill="F8FAFC" w:color="auto" w:val="clear"/>
            <w:tcMar>
              <w:top w:type="dxa" w:w="180"/>
              <w:left w:type="dxa" w:w="220"/>
              <w:bottom w:type="dxa" w:w="200"/>
              <w:right w:type="dxa" w:w="220"/>
            </w:tcMar>
          </w:tcPr>
          <w:p>
            <w:r>
              <w:rPr>
                <w:rFonts w:ascii="Calibri" w:cs="Calibri" w:eastAsia="Calibri" w:hAnsi="Calibri"/>
                <w:b/>
                <w:bCs/>
                <w:color w:val="B45309"/>
                <w:spacing w:val="40"/>
                <w:sz w:val="16"/>
                <w:szCs w:val="16"/>
              </w:rPr>
              <w:t xml:space="preserve">1 – Approaching expectations</w:t>
            </w:r>
          </w:p>
          <w:p>
            <w:pPr>
              <w:spacing w:after="80" w:before="80"/>
            </w:pPr>
            <w:r>
              <w:rPr>
                <w:rFonts w:ascii="Calibri" w:cs="Calibri" w:eastAsia="Calibri" w:hAnsi="Calibri"/>
                <w:b/>
                <w:bCs/>
                <w:color w:val="1B2A4E"/>
                <w:sz w:val="16"/>
                <w:szCs w:val="16"/>
              </w:rPr>
              <w:t xml:space="preserve">Descriptor  </w:t>
            </w:r>
            <w:r>
              <w:rPr>
                <w:rFonts w:ascii="Calibri" w:cs="Calibri" w:eastAsia="Calibri" w:hAnsi="Calibri"/>
                <w:color w:val="1F2937"/>
                <w:sz w:val="20"/>
                <w:szCs w:val="20"/>
              </w:rPr>
              <w:t xml:space="preserve">Attentive but passive. Tracks the discussion, takes notes, and completes written fields at surface level, but does not volunteer ideas, does not challenge peers, and self-reflection restates what others said rather than what the student now thinks.</w:t>
            </w:r>
          </w:p>
          <w:p>
            <w:pPr>
              <w:spacing w:after="40" w:before="80"/>
            </w:pPr>
            <w:r>
              <w:rPr>
                <w:rFonts w:ascii="Calibri" w:cs="Calibri" w:eastAsia="Calibri" w:hAnsi="Calibri"/>
                <w:b/>
                <w:bCs/>
                <w:color w:val="1B2A4E"/>
                <w:spacing w:val="60"/>
                <w:sz w:val="14"/>
                <w:szCs w:val="14"/>
              </w:rPr>
              <w:t xml:space="preserve">OBSERVABLE INDICATORS</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Notes are accurate but reproductive — no synthesis or critique.</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Speaks only when directly called on; answers are short and safe.</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Self-reflection describes the session, not a shift in the student's own view.</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Open question, if given, is generic ('Can we discuss more examples?').</w:t>
            </w:r>
          </w:p>
          <w:p>
            <w:pPr>
              <w:spacing w:after="40" w:before="120"/>
            </w:pPr>
            <w:r>
              <w:rPr>
                <w:rFonts w:ascii="Calibri" w:cs="Calibri" w:eastAsia="Calibri" w:hAnsi="Calibri"/>
                <w:b/>
                <w:bCs/>
                <w:color w:val="1B2A4E"/>
                <w:spacing w:val="60"/>
                <w:sz w:val="14"/>
                <w:szCs w:val="14"/>
              </w:rPr>
              <w:t xml:space="preserve">EVIDENCE FROM SAMPLE SELF-REFLECTIONS</w:t>
            </w:r>
          </w:p>
          <w:p>
            <w:r>
              <w:rPr>
                <w:rFonts w:ascii="Calibri" w:cs="Calibri" w:eastAsia="Calibri" w:hAnsi="Calibri"/>
                <w:i/>
                <w:iCs/>
                <w:color w:val="1F2937"/>
                <w:sz w:val="19"/>
                <w:szCs w:val="19"/>
              </w:rPr>
              <w:t xml:space="preserve">Before: 'I hadn't thought about this topic much before class.'  After: 'The discussion covered many perspectives and I learned a lot.'  Question: 'Can we have more examples next time?'</w:t>
            </w:r>
          </w:p>
        </w:tc>
      </w:tr>
    </w:tbl>
    <w:p>
      <w:pPr>
        <w:spacing w:after="140"/>
      </w:pPr>
      <w:r>
        <w:rPr>
          <w:rFonts w:ascii="Calibri" w:cs="Calibri" w:eastAsia="Calibri" w:hAnsi="Calibri"/>
        </w:rP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D1D5DB" w:sz="6"/>
              <w:left w:val="single" w:color="D1D5DB" w:sz="6"/>
              <w:bottom w:val="single" w:color="D1D5DB" w:sz="6"/>
              <w:right w:val="single" w:color="D1D5DB" w:sz="6"/>
            </w:tcBorders>
            <w:shd w:fill="C9A227" w:color="auto" w:val="clear"/>
            <w:tcMar>
              <w:top w:type="dxa" w:w="200"/>
              <w:left w:type="dxa" w:w="100"/>
              <w:bottom w:type="dxa" w:w="200"/>
              <w:right w:type="dxa" w:w="100"/>
            </w:tcMar>
            <w:vAlign w:val="center"/>
          </w:tcPr>
          <w:p>
            <w:pPr>
              <w:jc w:val="center"/>
            </w:pPr>
            <w:r>
              <w:rPr>
                <w:rFonts w:ascii="Calibri" w:cs="Calibri" w:eastAsia="Calibri" w:hAnsi="Calibri"/>
                <w:b/>
                <w:bCs/>
                <w:color w:val="FFFFFF"/>
                <w:sz w:val="72"/>
                <w:szCs w:val="72"/>
              </w:rPr>
              <w:t xml:space="preserve">3</w:t>
            </w:r>
          </w:p>
          <w:p>
            <w:pPr>
              <w:spacing w:before="40"/>
              <w:jc w:val="center"/>
            </w:pPr>
            <w:r>
              <w:rPr>
                <w:rFonts w:ascii="Calibri" w:cs="Calibri" w:eastAsia="Calibri" w:hAnsi="Calibri"/>
                <w:b/>
                <w:bCs/>
                <w:color w:val="FFFFFF"/>
                <w:spacing w:val="80"/>
                <w:sz w:val="16"/>
                <w:szCs w:val="16"/>
              </w:rPr>
              <w:t xml:space="preserve">CONTRIBUTING</w:t>
            </w:r>
          </w:p>
          <w:p>
            <w:pPr>
              <w:spacing w:before="60"/>
              <w:jc w:val="center"/>
            </w:pPr>
            <w:r>
              <w:rPr>
                <w:rFonts w:ascii="Calibri" w:cs="Calibri" w:eastAsia="Calibri" w:hAnsi="Calibri"/>
                <w:b/>
                <w:bCs/>
                <w:color w:val="FFFFFF"/>
                <w:sz w:val="16"/>
                <w:szCs w:val="16"/>
              </w:rPr>
              <w:t xml:space="preserve">2 marks</w:t>
            </w:r>
          </w:p>
        </w:tc>
        <w:tc>
          <w:tcPr>
            <w:tcW w:type="dxa" w:w="7960"/>
            <w:tcBorders>
              <w:top w:val="single" w:color="D1D5DB" w:sz="6"/>
              <w:left w:val="single" w:color="D1D5DB" w:sz="6"/>
              <w:bottom w:val="single" w:color="D1D5DB" w:sz="6"/>
              <w:right w:val="single" w:color="D1D5DB" w:sz="6"/>
            </w:tcBorders>
            <w:shd w:fill="F8FAFC" w:color="auto" w:val="clear"/>
            <w:tcMar>
              <w:top w:type="dxa" w:w="180"/>
              <w:left w:type="dxa" w:w="220"/>
              <w:bottom w:type="dxa" w:w="200"/>
              <w:right w:type="dxa" w:w="220"/>
            </w:tcMar>
          </w:tcPr>
          <w:p>
            <w:r>
              <w:rPr>
                <w:rFonts w:ascii="Calibri" w:cs="Calibri" w:eastAsia="Calibri" w:hAnsi="Calibri"/>
                <w:b/>
                <w:bCs/>
                <w:color w:val="C9A227"/>
                <w:spacing w:val="40"/>
                <w:sz w:val="16"/>
                <w:szCs w:val="16"/>
              </w:rPr>
              <w:t xml:space="preserve">2 – Meeting expectations</w:t>
            </w:r>
          </w:p>
          <w:p>
            <w:pPr>
              <w:spacing w:after="80" w:before="80"/>
            </w:pPr>
            <w:r>
              <w:rPr>
                <w:rFonts w:ascii="Calibri" w:cs="Calibri" w:eastAsia="Calibri" w:hAnsi="Calibri"/>
                <w:b/>
                <w:bCs/>
                <w:color w:val="1B2A4E"/>
                <w:sz w:val="16"/>
                <w:szCs w:val="16"/>
              </w:rPr>
              <w:t xml:space="preserve">Descriptor  </w:t>
            </w:r>
            <w:r>
              <w:rPr>
                <w:rFonts w:ascii="Calibri" w:cs="Calibri" w:eastAsia="Calibri" w:hAnsi="Calibri"/>
                <w:color w:val="1F2937"/>
                <w:sz w:val="20"/>
                <w:szCs w:val="20"/>
              </w:rPr>
              <w:t xml:space="preserve">Speaks at least twice unprompted with substantive points that engage the prompt. Written responses take a defensible position with at least one supporting reason or example. Self-reflection names a specific prior belief and a specific reason it changed (or held).</w:t>
            </w:r>
          </w:p>
          <w:p>
            <w:pPr>
              <w:spacing w:after="40" w:before="80"/>
            </w:pPr>
            <w:r>
              <w:rPr>
                <w:rFonts w:ascii="Calibri" w:cs="Calibri" w:eastAsia="Calibri" w:hAnsi="Calibri"/>
                <w:b/>
                <w:bCs/>
                <w:color w:val="1B2A4E"/>
                <w:spacing w:val="60"/>
                <w:sz w:val="14"/>
                <w:szCs w:val="14"/>
              </w:rPr>
              <w:t xml:space="preserve">OBSERVABLE INDICATORS</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Volunteers a concrete example, counter-example, or citation.</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Written response makes a claim AND gives evidence.</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Self-reflection identifies WHAT shifted, not just that something did.</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Open question is specific and researchable.</w:t>
            </w:r>
          </w:p>
          <w:p>
            <w:pPr>
              <w:spacing w:after="40" w:before="120"/>
            </w:pPr>
            <w:r>
              <w:rPr>
                <w:rFonts w:ascii="Calibri" w:cs="Calibri" w:eastAsia="Calibri" w:hAnsi="Calibri"/>
                <w:b/>
                <w:bCs/>
                <w:color w:val="1B2A4E"/>
                <w:spacing w:val="60"/>
                <w:sz w:val="14"/>
                <w:szCs w:val="14"/>
              </w:rPr>
              <w:t xml:space="preserve">EVIDENCE FROM SAMPLE SELF-REFLECTIONS</w:t>
            </w:r>
          </w:p>
          <w:p>
            <w:r>
              <w:rPr>
                <w:rFonts w:ascii="Calibri" w:cs="Calibri" w:eastAsia="Calibri" w:hAnsi="Calibri"/>
                <w:i/>
                <w:iCs/>
                <w:color w:val="1F2937"/>
                <w:sz w:val="19"/>
                <w:szCs w:val="19"/>
              </w:rPr>
              <w:t xml:space="preserve">Before: 'I thought a strong neural finding basically settled a psychological debate.'  After: 'The levels-of-explanation framing convinced me neuroscience is one lens among several.'  Question: 'What would a genuinely Indian neuroscience research programme prioritise?'</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D1D5DB" w:sz="6"/>
              <w:left w:val="single" w:color="D1D5DB" w:sz="6"/>
              <w:bottom w:val="single" w:color="D1D5DB" w:sz="6"/>
              <w:right w:val="single" w:color="D1D5DB" w:sz="6"/>
            </w:tcBorders>
            <w:shd w:fill="1B2A4E" w:color="auto" w:val="clear"/>
            <w:tcMar>
              <w:top w:type="dxa" w:w="200"/>
              <w:left w:type="dxa" w:w="100"/>
              <w:bottom w:type="dxa" w:w="200"/>
              <w:right w:type="dxa" w:w="100"/>
            </w:tcMar>
            <w:vAlign w:val="center"/>
          </w:tcPr>
          <w:p>
            <w:pPr>
              <w:jc w:val="center"/>
            </w:pPr>
            <w:r>
              <w:rPr>
                <w:rFonts w:ascii="Calibri" w:cs="Calibri" w:eastAsia="Calibri" w:hAnsi="Calibri"/>
                <w:b/>
                <w:bCs/>
                <w:color w:val="FFFFFF"/>
                <w:sz w:val="72"/>
                <w:szCs w:val="72"/>
              </w:rPr>
              <w:t xml:space="preserve">4</w:t>
            </w:r>
          </w:p>
          <w:p>
            <w:pPr>
              <w:spacing w:before="40"/>
              <w:jc w:val="center"/>
            </w:pPr>
            <w:r>
              <w:rPr>
                <w:rFonts w:ascii="Calibri" w:cs="Calibri" w:eastAsia="Calibri" w:hAnsi="Calibri"/>
                <w:b/>
                <w:bCs/>
                <w:color w:val="FFFFFF"/>
                <w:spacing w:val="80"/>
                <w:sz w:val="16"/>
                <w:szCs w:val="16"/>
              </w:rPr>
              <w:t xml:space="preserve">LEADING</w:t>
            </w:r>
          </w:p>
          <w:p>
            <w:pPr>
              <w:spacing w:before="60"/>
              <w:jc w:val="center"/>
            </w:pPr>
            <w:r>
              <w:rPr>
                <w:rFonts w:ascii="Calibri" w:cs="Calibri" w:eastAsia="Calibri" w:hAnsi="Calibri"/>
                <w:b/>
                <w:bCs/>
                <w:color w:val="FFFFFF"/>
                <w:sz w:val="16"/>
                <w:szCs w:val="16"/>
              </w:rPr>
              <w:t xml:space="preserve">3 marks</w:t>
            </w:r>
          </w:p>
        </w:tc>
        <w:tc>
          <w:tcPr>
            <w:tcW w:type="dxa" w:w="7960"/>
            <w:tcBorders>
              <w:top w:val="single" w:color="D1D5DB" w:sz="6"/>
              <w:left w:val="single" w:color="D1D5DB" w:sz="6"/>
              <w:bottom w:val="single" w:color="D1D5DB" w:sz="6"/>
              <w:right w:val="single" w:color="D1D5DB" w:sz="6"/>
            </w:tcBorders>
            <w:shd w:fill="F8FAFC" w:color="auto" w:val="clear"/>
            <w:tcMar>
              <w:top w:type="dxa" w:w="180"/>
              <w:left w:type="dxa" w:w="220"/>
              <w:bottom w:type="dxa" w:w="200"/>
              <w:right w:type="dxa" w:w="220"/>
            </w:tcMar>
          </w:tcPr>
          <w:p>
            <w:r>
              <w:rPr>
                <w:rFonts w:ascii="Calibri" w:cs="Calibri" w:eastAsia="Calibri" w:hAnsi="Calibri"/>
                <w:b/>
                <w:bCs/>
                <w:color w:val="1B2A4E"/>
                <w:spacing w:val="40"/>
                <w:sz w:val="16"/>
                <w:szCs w:val="16"/>
              </w:rPr>
              <w:t xml:space="preserve">3 – Exceeding expectations</w:t>
            </w:r>
          </w:p>
          <w:p>
            <w:pPr>
              <w:spacing w:after="80" w:before="80"/>
            </w:pPr>
            <w:r>
              <w:rPr>
                <w:rFonts w:ascii="Calibri" w:cs="Calibri" w:eastAsia="Calibri" w:hAnsi="Calibri"/>
                <w:b/>
                <w:bCs/>
                <w:color w:val="1B2A4E"/>
                <w:sz w:val="16"/>
                <w:szCs w:val="16"/>
              </w:rPr>
              <w:t xml:space="preserve">Descriptor  </w:t>
            </w:r>
            <w:r>
              <w:rPr>
                <w:rFonts w:ascii="Calibri" w:cs="Calibri" w:eastAsia="Calibri" w:hAnsi="Calibri"/>
                <w:color w:val="1F2937"/>
                <w:sz w:val="20"/>
                <w:szCs w:val="20"/>
              </w:rPr>
              <w:t xml:space="preserve">Moves the discussion forward — introduces a distinction others adopt, names an assumption the group had missed, or reframes the question productively. Written responses show awareness of counter-arguments. Self-reflection acknowledges a genuine belief revision and traces it to specific peer input.</w:t>
            </w:r>
          </w:p>
          <w:p>
            <w:pPr>
              <w:spacing w:after="40" w:before="80"/>
            </w:pPr>
            <w:r>
              <w:rPr>
                <w:rFonts w:ascii="Calibri" w:cs="Calibri" w:eastAsia="Calibri" w:hAnsi="Calibri"/>
                <w:b/>
                <w:bCs/>
                <w:color w:val="1B2A4E"/>
                <w:spacing w:val="60"/>
                <w:sz w:val="14"/>
                <w:szCs w:val="14"/>
              </w:rPr>
              <w:t xml:space="preserve">OBSERVABLE INDICATORS</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Introduces a distinction, framework, or piece of evidence the group takes up.</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Written response anticipates and answers at least one counter-argument.</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Self-reflection credits a specific classmate's input or a specific moment.</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Open question opens a new line of inquiry, not just a request for more information.</w:t>
            </w:r>
          </w:p>
          <w:p>
            <w:pPr>
              <w:spacing w:after="40" w:before="120"/>
            </w:pPr>
            <w:r>
              <w:rPr>
                <w:rFonts w:ascii="Calibri" w:cs="Calibri" w:eastAsia="Calibri" w:hAnsi="Calibri"/>
                <w:b/>
                <w:bCs/>
                <w:color w:val="1B2A4E"/>
                <w:spacing w:val="60"/>
                <w:sz w:val="14"/>
                <w:szCs w:val="14"/>
              </w:rPr>
              <w:t xml:space="preserve">EVIDENCE FROM SAMPLE SELF-REFLECTIONS</w:t>
            </w:r>
          </w:p>
          <w:p>
            <w:r>
              <w:rPr>
                <w:rFonts w:ascii="Calibri" w:cs="Calibri" w:eastAsia="Calibri" w:hAnsi="Calibri"/>
                <w:i/>
                <w:iCs/>
                <w:color w:val="1F2937"/>
                <w:sz w:val="19"/>
                <w:szCs w:val="19"/>
              </w:rPr>
              <w:t xml:space="preserve">Before: 'I read Arnett as a global description.'  After: 'It's really an American description that travels poorly. Emerging adulthood in India is a family-embedded negotiation, not an individual-launch phase.'  Question: 'What longitudinal design would actually capture Indian developmental pathways rather than benchmarking them against Western norms?'</w:t>
            </w:r>
          </w:p>
        </w:tc>
      </w:tr>
    </w:tbl>
    <w:p>
      <w:pPr>
        <w:spacing w:after="140"/>
      </w:pPr>
      <w:r>
        <w:rPr>
          <w:rFonts w:ascii="Calibri" w:cs="Calibri" w:eastAsia="Calibri" w:hAnsi="Calibri"/>
        </w:rP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D1D5DB" w:sz="6"/>
              <w:left w:val="single" w:color="D1D5DB" w:sz="6"/>
              <w:bottom w:val="single" w:color="D1D5DB" w:sz="6"/>
              <w:right w:val="single" w:color="D1D5DB" w:sz="6"/>
            </w:tcBorders>
            <w:shd w:fill="0F766E" w:color="auto" w:val="clear"/>
            <w:tcMar>
              <w:top w:type="dxa" w:w="200"/>
              <w:left w:type="dxa" w:w="100"/>
              <w:bottom w:type="dxa" w:w="200"/>
              <w:right w:type="dxa" w:w="100"/>
            </w:tcMar>
            <w:vAlign w:val="center"/>
          </w:tcPr>
          <w:p>
            <w:pPr>
              <w:jc w:val="center"/>
            </w:pPr>
            <w:r>
              <w:rPr>
                <w:rFonts w:ascii="Calibri" w:cs="Calibri" w:eastAsia="Calibri" w:hAnsi="Calibri"/>
                <w:b/>
                <w:bCs/>
                <w:color w:val="FFFFFF"/>
                <w:sz w:val="72"/>
                <w:szCs w:val="72"/>
              </w:rPr>
              <w:t xml:space="preserve">5</w:t>
            </w:r>
          </w:p>
          <w:p>
            <w:pPr>
              <w:spacing w:before="40"/>
              <w:jc w:val="center"/>
            </w:pPr>
            <w:r>
              <w:rPr>
                <w:rFonts w:ascii="Calibri" w:cs="Calibri" w:eastAsia="Calibri" w:hAnsi="Calibri"/>
                <w:b/>
                <w:bCs/>
                <w:color w:val="FFFFFF"/>
                <w:spacing w:val="80"/>
                <w:sz w:val="16"/>
                <w:szCs w:val="16"/>
              </w:rPr>
              <w:t xml:space="preserve">SYNTHESISING</w:t>
            </w:r>
          </w:p>
          <w:p>
            <w:pPr>
              <w:spacing w:before="60"/>
              <w:jc w:val="center"/>
            </w:pPr>
            <w:r>
              <w:rPr>
                <w:rFonts w:ascii="Calibri" w:cs="Calibri" w:eastAsia="Calibri" w:hAnsi="Calibri"/>
                <w:b/>
                <w:bCs/>
                <w:color w:val="FFFFFF"/>
                <w:sz w:val="16"/>
                <w:szCs w:val="16"/>
              </w:rPr>
              <w:t xml:space="preserve">4 marks</w:t>
            </w:r>
          </w:p>
        </w:tc>
        <w:tc>
          <w:tcPr>
            <w:tcW w:type="dxa" w:w="7960"/>
            <w:tcBorders>
              <w:top w:val="single" w:color="D1D5DB" w:sz="6"/>
              <w:left w:val="single" w:color="D1D5DB" w:sz="6"/>
              <w:bottom w:val="single" w:color="D1D5DB" w:sz="6"/>
              <w:right w:val="single" w:color="D1D5DB" w:sz="6"/>
            </w:tcBorders>
            <w:shd w:fill="F8FAFC" w:color="auto" w:val="clear"/>
            <w:tcMar>
              <w:top w:type="dxa" w:w="180"/>
              <w:left w:type="dxa" w:w="220"/>
              <w:bottom w:type="dxa" w:w="200"/>
              <w:right w:type="dxa" w:w="220"/>
            </w:tcMar>
          </w:tcPr>
          <w:p>
            <w:r>
              <w:rPr>
                <w:rFonts w:ascii="Calibri" w:cs="Calibri" w:eastAsia="Calibri" w:hAnsi="Calibri"/>
                <w:b/>
                <w:bCs/>
                <w:color w:val="0F766E"/>
                <w:spacing w:val="40"/>
                <w:sz w:val="16"/>
                <w:szCs w:val="16"/>
              </w:rPr>
              <w:t xml:space="preserve">4 – Outstanding</w:t>
            </w:r>
          </w:p>
          <w:p>
            <w:pPr>
              <w:spacing w:after="80" w:before="80"/>
            </w:pPr>
            <w:r>
              <w:rPr>
                <w:rFonts w:ascii="Calibri" w:cs="Calibri" w:eastAsia="Calibri" w:hAnsi="Calibri"/>
                <w:b/>
                <w:bCs/>
                <w:color w:val="1B2A4E"/>
                <w:sz w:val="16"/>
                <w:szCs w:val="16"/>
              </w:rPr>
              <w:t xml:space="preserve">Descriptor  </w:t>
            </w:r>
            <w:r>
              <w:rPr>
                <w:rFonts w:ascii="Calibri" w:cs="Calibri" w:eastAsia="Calibri" w:hAnsi="Calibri"/>
                <w:color w:val="1F2937"/>
                <w:sz w:val="20"/>
                <w:szCs w:val="20"/>
              </w:rPr>
              <w:t xml:space="preserve">Integrates multiple contributions into a coherent position the group did not hold at the start. Written responses show conceptual precision, cite specific literature or data, and hold a position while acknowledging its limits. Self-reflection is metacognitive: names not just what changed but how the student now thinks differently.</w:t>
            </w:r>
          </w:p>
          <w:p>
            <w:pPr>
              <w:spacing w:after="40" w:before="80"/>
            </w:pPr>
            <w:r>
              <w:rPr>
                <w:rFonts w:ascii="Calibri" w:cs="Calibri" w:eastAsia="Calibri" w:hAnsi="Calibri"/>
                <w:b/>
                <w:bCs/>
                <w:color w:val="1B2A4E"/>
                <w:spacing w:val="60"/>
                <w:sz w:val="14"/>
                <w:szCs w:val="14"/>
              </w:rPr>
              <w:t xml:space="preserve">OBSERVABLE INDICATORS</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Names the underlying disagreement in the room and proposes a resolution.</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Written response cites a specific study, framework, or dataset by name.</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Self-reflection describes a change in reasoning style, not only in conclusion.</w:t>
            </w:r>
          </w:p>
          <w:p>
            <w:pPr>
              <w:spacing w:after="20"/>
              <w:ind w:left="220" w:hanging="220"/>
            </w:pPr>
            <w:r>
              <w:rPr>
                <w:rFonts w:ascii="Calibri" w:cs="Calibri" w:eastAsia="Calibri" w:hAnsi="Calibri"/>
                <w:b/>
                <w:bCs/>
                <w:color w:val="C9A227"/>
                <w:sz w:val="20"/>
                <w:szCs w:val="20"/>
              </w:rPr>
              <w:t xml:space="preserve">•  </w:t>
            </w:r>
            <w:r>
              <w:rPr>
                <w:rFonts w:ascii="Calibri" w:cs="Calibri" w:eastAsia="Calibri" w:hAnsi="Calibri"/>
                <w:color w:val="1F2937"/>
                <w:sz w:val="19"/>
                <w:szCs w:val="19"/>
              </w:rPr>
              <w:t xml:space="preserve">Open question is one the field itself has not yet answered — research-worthy.</w:t>
            </w:r>
          </w:p>
          <w:p>
            <w:pPr>
              <w:spacing w:after="40" w:before="120"/>
            </w:pPr>
            <w:r>
              <w:rPr>
                <w:rFonts w:ascii="Calibri" w:cs="Calibri" w:eastAsia="Calibri" w:hAnsi="Calibri"/>
                <w:b/>
                <w:bCs/>
                <w:color w:val="1B2A4E"/>
                <w:spacing w:val="60"/>
                <w:sz w:val="14"/>
                <w:szCs w:val="14"/>
              </w:rPr>
              <w:t xml:space="preserve">EVIDENCE FROM SAMPLE SELF-REFLECTIONS</w:t>
            </w:r>
          </w:p>
          <w:p>
            <w:r>
              <w:rPr>
                <w:rFonts w:ascii="Calibri" w:cs="Calibri" w:eastAsia="Calibri" w:hAnsi="Calibri"/>
                <w:i/>
                <w:iCs/>
                <w:color w:val="1F2937"/>
                <w:sz w:val="19"/>
                <w:szCs w:val="19"/>
              </w:rPr>
              <w:t xml:space="preserve">Before: 'I framed lifestyle change as motivation.'  After: 'It's household infrastructure. Motivational interviewing with a patient whose kitchen he doesn't control is theatre.'  Question: 'How do we build household-level interventions without turning psychologists into family therapists by default?'</w:t>
            </w:r>
          </w:p>
        </w:tc>
      </w:tr>
    </w:tbl>
    <w:p>
      <w:pPr>
        <w:spacing w:after="140"/>
      </w:pPr>
      <w:r>
        <w:rPr>
          <w:rFonts w:ascii="Calibri" w:cs="Calibri" w:eastAsia="Calibri" w:hAnsi="Calibri"/>
        </w:rP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c>
          <w:tcPr>
            <w:tcW w:type="dxa" w:w="6800"/>
            <w:tcBorders>
              <w:top w:val="single" w:color="D1D5DB" w:sz="6"/>
              <w:left w:val="single" w:color="D1D5DB" w:sz="6"/>
              <w:bottom w:val="single" w:color="D1D5DB" w:sz="6"/>
              <w:right w:val="none" w:color="FFFFFF" w:sz="0"/>
            </w:tcBorders>
            <w:shd w:fill="1B2A4E" w:color="auto" w:val="clear"/>
            <w:tcMar>
              <w:top w:type="dxa" w:w="180"/>
              <w:left w:type="dxa" w:w="220"/>
              <w:bottom w:type="dxa" w:w="180"/>
              <w:right w:type="dxa" w:w="180"/>
            </w:tcMar>
          </w:tcPr>
          <w:p>
            <w:r>
              <w:rPr>
                <w:rFonts w:ascii="Calibri" w:cs="Calibri" w:eastAsia="Calibri" w:hAnsi="Calibri"/>
                <w:b/>
                <w:bCs/>
                <w:color w:val="C9A227"/>
                <w:spacing w:val="60"/>
                <w:sz w:val="16"/>
                <w:szCs w:val="16"/>
              </w:rPr>
              <w:t xml:space="preserve">M.A. PSYCHOLOGY  •  CBCS</w:t>
            </w:r>
          </w:p>
          <w:p>
            <w:pPr>
              <w:spacing w:before="40"/>
            </w:pPr>
            <w:r>
              <w:rPr>
                <w:rFonts w:ascii="Calibri" w:cs="Calibri" w:eastAsia="Calibri" w:hAnsi="Calibri"/>
                <w:b/>
                <w:bCs/>
                <w:color w:val="FFFFFF"/>
                <w:sz w:val="30"/>
                <w:szCs w:val="30"/>
              </w:rPr>
              <w:t xml:space="preserve">Dimension Matrix</w:t>
            </w:r>
          </w:p>
          <w:p>
            <w:pPr>
              <w:spacing w:before="20"/>
            </w:pPr>
            <w:r>
              <w:rPr>
                <w:rFonts w:ascii="Calibri" w:cs="Calibri" w:eastAsia="Calibri" w:hAnsi="Calibri"/>
                <w:i/>
                <w:iCs/>
                <w:color w:val="E5E7EB"/>
                <w:sz w:val="20"/>
                <w:szCs w:val="20"/>
              </w:rPr>
              <w:t xml:space="preserve">Five behavioural dimensions scored independently, then aggregated to a level</w:t>
            </w:r>
          </w:p>
        </w:tc>
        <w:tc>
          <w:tcPr>
            <w:tcW w:type="dxa" w:w="2560"/>
            <w:tcBorders>
              <w:top w:val="single" w:color="D1D5DB" w:sz="6"/>
              <w:left w:val="none" w:color="FFFFFF" w:sz="0"/>
              <w:bottom w:val="single" w:color="D1D5DB" w:sz="6"/>
              <w:right w:val="single" w:color="D1D5DB" w:sz="6"/>
            </w:tcBorders>
            <w:shd w:fill="C9A227" w:color="auto" w:val="clear"/>
            <w:tcMar>
              <w:top w:type="dxa" w:w="180"/>
              <w:left w:type="dxa" w:w="180"/>
              <w:bottom w:type="dxa" w:w="180"/>
              <w:right w:type="dxa" w:w="180"/>
            </w:tcMar>
          </w:tcPr>
          <w:p>
            <w:pPr>
              <w:jc w:val="right"/>
            </w:pPr>
            <w:r>
              <w:rPr>
                <w:rFonts w:ascii="Calibri" w:cs="Calibri" w:eastAsia="Calibri" w:hAnsi="Calibri"/>
                <w:b/>
                <w:bCs/>
                <w:color w:val="1B2A4E"/>
                <w:spacing w:val="40"/>
                <w:sz w:val="16"/>
                <w:szCs w:val="16"/>
              </w:rPr>
              <w:t xml:space="preserve">SCORING RUBRIC</w:t>
            </w:r>
          </w:p>
          <w:p>
            <w:pPr>
              <w:spacing w:before="40"/>
              <w:jc w:val="right"/>
            </w:pPr>
            <w:r>
              <w:rPr>
                <w:rFonts w:ascii="Calibri" w:cs="Calibri" w:eastAsia="Calibri" w:hAnsi="Calibri"/>
                <w:i/>
                <w:iCs/>
                <w:color w:val="1B2A4E"/>
                <w:sz w:val="18"/>
                <w:szCs w:val="18"/>
              </w:rPr>
              <w:t xml:space="preserve">For Instructors</w:t>
            </w:r>
          </w:p>
        </w:tc>
      </w:tr>
    </w:tbl>
    <w:p>
      <w:pPr>
        <w:spacing w:after="160"/>
      </w:pPr>
      <w:r>
        <w:rPr>
          <w:rFonts w:ascii="Calibri" w:cs="Calibri" w:eastAsia="Calibri" w:hAnsi="Calibri"/>
        </w:rPr>
        <w:t xml:space="preserve"/>
      </w:r>
    </w:p>
    <w:p>
      <w:pPr>
        <w:spacing w:after="160"/>
      </w:pPr>
      <w:r>
        <w:rPr>
          <w:rFonts w:ascii="Calibri" w:cs="Calibri" w:eastAsia="Calibri" w:hAnsi="Calibri"/>
          <w:color w:val="1F2937"/>
          <w:sz w:val="20"/>
          <w:szCs w:val="20"/>
        </w:rPr>
        <w:t xml:space="preserve">Use the matrix as a quick-scan sheet during class. Circle one cell per row for each student. The student's overall level is the modal column across the five rows.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472"/>
        <w:gridCol w:w="1472"/>
        <w:gridCol w:w="1472"/>
        <w:gridCol w:w="1472"/>
        <w:gridCol w:w="1472"/>
      </w:tblGrid>
      <w:tr>
        <w:trPr>
          <w:tblHeader/>
        </w:trPr>
        <w:tc>
          <w:tcPr>
            <w:tcBorders>
              <w:top w:val="single" w:color="D1D5DB" w:sz="6"/>
              <w:left w:val="single" w:color="D1D5DB" w:sz="6"/>
              <w:bottom w:val="single" w:color="D1D5DB" w:sz="6"/>
              <w:right w:val="single" w:color="D1D5DB" w:sz="6"/>
            </w:tcBorders>
            <w:shd w:fill="1B2A4E" w:color="auto" w:val="clear"/>
            <w:tcMar>
              <w:top w:type="dxa" w:w="80"/>
              <w:left w:type="dxa" w:w="100"/>
              <w:bottom w:type="dxa" w:w="80"/>
              <w:right w:type="dxa" w:w="100"/>
            </w:tcMar>
          </w:tcPr>
          <w:p>
            <w:pPr>
              <w:jc w:val="center"/>
            </w:pPr>
            <w:r>
              <w:rPr>
                <w:rFonts w:ascii="Calibri" w:cs="Calibri" w:eastAsia="Calibri" w:hAnsi="Calibri"/>
                <w:b/>
                <w:bCs/>
                <w:color w:val="FFFFFF"/>
                <w:spacing w:val="60"/>
                <w:sz w:val="14"/>
                <w:szCs w:val="14"/>
              </w:rPr>
              <w:t xml:space="preserve">DIMENSION</w:t>
            </w:r>
          </w:p>
        </w:tc>
        <w:tc>
          <w:tcPr>
            <w:tcBorders>
              <w:top w:val="single" w:color="D1D5DB" w:sz="6"/>
              <w:left w:val="single" w:color="D1D5DB" w:sz="6"/>
              <w:bottom w:val="single" w:color="D1D5DB" w:sz="6"/>
              <w:right w:val="single" w:color="D1D5DB" w:sz="6"/>
            </w:tcBorders>
            <w:shd w:fill="B91C1C" w:color="auto" w:val="clear"/>
            <w:tcMar>
              <w:top w:type="dxa" w:w="80"/>
              <w:left w:type="dxa" w:w="100"/>
              <w:bottom w:type="dxa" w:w="80"/>
              <w:right w:type="dxa" w:w="100"/>
            </w:tcMar>
          </w:tcPr>
          <w:p>
            <w:pPr>
              <w:jc w:val="center"/>
            </w:pPr>
            <w:r>
              <w:rPr>
                <w:rFonts w:ascii="Calibri" w:cs="Calibri" w:eastAsia="Calibri" w:hAnsi="Calibri"/>
                <w:b/>
                <w:bCs/>
                <w:color w:val="FFFFFF"/>
                <w:spacing w:val="60"/>
                <w:sz w:val="14"/>
                <w:szCs w:val="14"/>
              </w:rPr>
              <w:t xml:space="preserve">1 Silent</w:t>
            </w:r>
          </w:p>
        </w:tc>
        <w:tc>
          <w:tcPr>
            <w:tcBorders>
              <w:top w:val="single" w:color="D1D5DB" w:sz="6"/>
              <w:left w:val="single" w:color="D1D5DB" w:sz="6"/>
              <w:bottom w:val="single" w:color="D1D5DB" w:sz="6"/>
              <w:right w:val="single" w:color="D1D5DB" w:sz="6"/>
            </w:tcBorders>
            <w:shd w:fill="B45309" w:color="auto" w:val="clear"/>
            <w:tcMar>
              <w:top w:type="dxa" w:w="80"/>
              <w:left w:type="dxa" w:w="100"/>
              <w:bottom w:type="dxa" w:w="80"/>
              <w:right w:type="dxa" w:w="100"/>
            </w:tcMar>
          </w:tcPr>
          <w:p>
            <w:pPr>
              <w:jc w:val="center"/>
            </w:pPr>
            <w:r>
              <w:rPr>
                <w:rFonts w:ascii="Calibri" w:cs="Calibri" w:eastAsia="Calibri" w:hAnsi="Calibri"/>
                <w:b/>
                <w:bCs/>
                <w:color w:val="FFFFFF"/>
                <w:spacing w:val="60"/>
                <w:sz w:val="14"/>
                <w:szCs w:val="14"/>
              </w:rPr>
              <w:t xml:space="preserve">2 Listening</w:t>
            </w:r>
          </w:p>
        </w:tc>
        <w:tc>
          <w:tcPr>
            <w:tcBorders>
              <w:top w:val="single" w:color="D1D5DB" w:sz="6"/>
              <w:left w:val="single" w:color="D1D5DB" w:sz="6"/>
              <w:bottom w:val="single" w:color="D1D5DB" w:sz="6"/>
              <w:right w:val="single" w:color="D1D5DB" w:sz="6"/>
            </w:tcBorders>
            <w:shd w:fill="C9A227" w:color="auto" w:val="clear"/>
            <w:tcMar>
              <w:top w:type="dxa" w:w="80"/>
              <w:left w:type="dxa" w:w="100"/>
              <w:bottom w:type="dxa" w:w="80"/>
              <w:right w:type="dxa" w:w="100"/>
            </w:tcMar>
          </w:tcPr>
          <w:p>
            <w:pPr>
              <w:jc w:val="center"/>
            </w:pPr>
            <w:r>
              <w:rPr>
                <w:rFonts w:ascii="Calibri" w:cs="Calibri" w:eastAsia="Calibri" w:hAnsi="Calibri"/>
                <w:b/>
                <w:bCs/>
                <w:color w:val="1B2A4E"/>
                <w:spacing w:val="60"/>
                <w:sz w:val="14"/>
                <w:szCs w:val="14"/>
              </w:rPr>
              <w:t xml:space="preserve">3 Contributing</w:t>
            </w:r>
          </w:p>
        </w:tc>
        <w:tc>
          <w:tcPr>
            <w:tcBorders>
              <w:top w:val="single" w:color="D1D5DB" w:sz="6"/>
              <w:left w:val="single" w:color="D1D5DB" w:sz="6"/>
              <w:bottom w:val="single" w:color="D1D5DB" w:sz="6"/>
              <w:right w:val="single" w:color="D1D5DB" w:sz="6"/>
            </w:tcBorders>
            <w:shd w:fill="1B2A4E" w:color="auto" w:val="clear"/>
            <w:tcMar>
              <w:top w:type="dxa" w:w="80"/>
              <w:left w:type="dxa" w:w="100"/>
              <w:bottom w:type="dxa" w:w="80"/>
              <w:right w:type="dxa" w:w="100"/>
            </w:tcMar>
          </w:tcPr>
          <w:p>
            <w:pPr>
              <w:jc w:val="center"/>
            </w:pPr>
            <w:r>
              <w:rPr>
                <w:rFonts w:ascii="Calibri" w:cs="Calibri" w:eastAsia="Calibri" w:hAnsi="Calibri"/>
                <w:b/>
                <w:bCs/>
                <w:color w:val="FFFFFF"/>
                <w:spacing w:val="60"/>
                <w:sz w:val="14"/>
                <w:szCs w:val="14"/>
              </w:rPr>
              <w:t xml:space="preserve">4 Leading</w:t>
            </w:r>
          </w:p>
        </w:tc>
        <w:tc>
          <w:tcPr>
            <w:tcBorders>
              <w:top w:val="single" w:color="D1D5DB" w:sz="6"/>
              <w:left w:val="single" w:color="D1D5DB" w:sz="6"/>
              <w:bottom w:val="single" w:color="D1D5DB" w:sz="6"/>
              <w:right w:val="single" w:color="D1D5DB" w:sz="6"/>
            </w:tcBorders>
            <w:shd w:fill="0F766E" w:color="auto" w:val="clear"/>
            <w:tcMar>
              <w:top w:type="dxa" w:w="80"/>
              <w:left w:type="dxa" w:w="100"/>
              <w:bottom w:type="dxa" w:w="80"/>
              <w:right w:type="dxa" w:w="100"/>
            </w:tcMar>
          </w:tcPr>
          <w:p>
            <w:pPr>
              <w:jc w:val="center"/>
            </w:pPr>
            <w:r>
              <w:rPr>
                <w:rFonts w:ascii="Calibri" w:cs="Calibri" w:eastAsia="Calibri" w:hAnsi="Calibri"/>
                <w:b/>
                <w:bCs/>
                <w:color w:val="FFFFFF"/>
                <w:spacing w:val="60"/>
                <w:sz w:val="14"/>
                <w:szCs w:val="14"/>
              </w:rPr>
              <w:t xml:space="preserve">5 Synthesising</w:t>
            </w:r>
          </w:p>
        </w:tc>
      </w:tr>
      <w:tr>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00"/>
            </w:tcMar>
          </w:tcPr>
          <w:p>
            <w:r>
              <w:rPr>
                <w:rFonts w:ascii="Calibri" w:cs="Calibri" w:eastAsia="Calibri" w:hAnsi="Calibri"/>
                <w:b/>
                <w:bCs/>
                <w:color w:val="1B2A4E"/>
                <w:sz w:val="15"/>
                <w:szCs w:val="15"/>
              </w:rPr>
              <w:t xml:space="preserve">Verbal Participation</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Silent or off-task.</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Speaks only when called on.</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2+ substantive unprompted contributions.</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Moves the discussion forward with a new frame.</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Synthesises multiple contributions into a shared position.</w:t>
            </w:r>
          </w:p>
        </w:tc>
      </w:tr>
      <w:tr>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00"/>
            </w:tcMar>
          </w:tcPr>
          <w:p>
            <w:r>
              <w:rPr>
                <w:rFonts w:ascii="Calibri" w:cs="Calibri" w:eastAsia="Calibri" w:hAnsi="Calibri"/>
                <w:b/>
                <w:bCs/>
                <w:color w:val="1B2A4E"/>
                <w:sz w:val="15"/>
                <w:szCs w:val="15"/>
              </w:rPr>
              <w:t xml:space="preserve">Written Depth (Prompt Fields)</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Blank or one-word.</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Restates the prompt.</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Claim + one reason or example.</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Claim + counter-argument addressed.</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Claim + evidence + acknowledged limits + citation.</w:t>
            </w:r>
          </w:p>
        </w:tc>
      </w:tr>
      <w:tr>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00"/>
            </w:tcMar>
          </w:tcPr>
          <w:p>
            <w:r>
              <w:rPr>
                <w:rFonts w:ascii="Calibri" w:cs="Calibri" w:eastAsia="Calibri" w:hAnsi="Calibri"/>
                <w:b/>
                <w:bCs/>
                <w:color w:val="1B2A4E"/>
                <w:sz w:val="15"/>
                <w:szCs w:val="15"/>
              </w:rPr>
              <w:t xml:space="preserve">Self-Reflection Quality</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Not attempted.</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Describes the session, not the shift.</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Names a specific prior belief and what changed.</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Credits a specific peer input or moment.</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Metacognitive — describes a change in reasoning style.</w:t>
            </w:r>
          </w:p>
        </w:tc>
      </w:tr>
      <w:tr>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00"/>
            </w:tcMar>
          </w:tcPr>
          <w:p>
            <w:r>
              <w:rPr>
                <w:rFonts w:ascii="Calibri" w:cs="Calibri" w:eastAsia="Calibri" w:hAnsi="Calibri"/>
                <w:b/>
                <w:bCs/>
                <w:color w:val="1B2A4E"/>
                <w:sz w:val="15"/>
                <w:szCs w:val="15"/>
              </w:rPr>
              <w:t xml:space="preserve">Open Question</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Missing.</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Generic ('more examples').</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Specific and researchable.</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Opens a new line of inquiry.</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Research-worthy — the field itself has not answered it.</w:t>
            </w:r>
          </w:p>
        </w:tc>
      </w:tr>
      <w:tr>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00"/>
            </w:tcMar>
          </w:tcPr>
          <w:p>
            <w:r>
              <w:rPr>
                <w:rFonts w:ascii="Calibri" w:cs="Calibri" w:eastAsia="Calibri" w:hAnsi="Calibri"/>
                <w:b/>
                <w:bCs/>
                <w:color w:val="1B2A4E"/>
                <w:sz w:val="15"/>
                <w:szCs w:val="15"/>
              </w:rPr>
              <w:t xml:space="preserve">Peer Engagement</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Ignores peers.</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Listens but does not respond.</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Builds on at least one peer's point.</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Constructively challenges a peer.</w:t>
            </w:r>
          </w:p>
        </w:tc>
        <w:tc>
          <w:tcPr>
            <w:tcBorders>
              <w:top w:val="single" w:color="D1D5DB" w:sz="6"/>
              <w:left w:val="single" w:color="D1D5DB" w:sz="6"/>
              <w:bottom w:val="single" w:color="D1D5DB" w:sz="6"/>
              <w:right w:val="single" w:color="D1D5DB" w:sz="6"/>
            </w:tcBorders>
            <w:shd w:fill="F8FAFC" w:color="auto" w:val="clear"/>
            <w:tcMar>
              <w:top w:type="dxa" w:w="80"/>
              <w:left w:type="dxa" w:w="100"/>
              <w:bottom w:type="dxa" w:w="80"/>
              <w:right w:type="dxa" w:w="100"/>
            </w:tcMar>
          </w:tcPr>
          <w:p>
            <w:r>
              <w:rPr>
                <w:rFonts w:ascii="Calibri" w:cs="Calibri" w:eastAsia="Calibri" w:hAnsi="Calibri"/>
                <w:color w:val="1F2937"/>
                <w:sz w:val="16"/>
                <w:szCs w:val="16"/>
              </w:rPr>
              <w:t xml:space="preserve">Helps a struggling peer articulate their own view.</w:t>
            </w:r>
          </w:p>
        </w:tc>
      </w:tr>
    </w:tbl>
    <w:p>
      <w:pPr>
        <w:spacing w:after="20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FFF8E1" w:color="auto" w:val="clear"/>
            <w:tcMar>
              <w:top w:type="dxa" w:w="140"/>
              <w:left w:type="dxa" w:w="200"/>
              <w:bottom w:type="dxa" w:w="140"/>
              <w:right w:type="dxa" w:w="200"/>
            </w:tcMar>
          </w:tcPr>
          <w:p>
            <w:r>
              <w:rPr>
                <w:rFonts w:ascii="Calibri" w:cs="Calibri" w:eastAsia="Calibri" w:hAnsi="Calibri"/>
                <w:b/>
                <w:bCs/>
                <w:color w:val="1B2A4E"/>
                <w:spacing w:val="60"/>
                <w:sz w:val="16"/>
                <w:szCs w:val="16"/>
              </w:rPr>
              <w:t xml:space="preserve">Tie-breaker rule</w:t>
            </w:r>
          </w:p>
          <w:p>
            <w:pPr>
              <w:spacing w:before="60"/>
            </w:pPr>
            <w:r>
              <w:rPr>
                <w:rFonts w:ascii="Calibri" w:cs="Calibri" w:eastAsia="Calibri" w:hAnsi="Calibri"/>
                <w:color w:val="1F2937"/>
                <w:sz w:val="20"/>
                <w:szCs w:val="20"/>
              </w:rPr>
              <w:t xml:space="preserve">When a student's five dimension scores split evenly across two adjacent levels (e.g., 3-3-3-4-4), award the LOWER level unless the two higher-scoring dimensions are Written Depth and Self-Reflection — those two carry double weight because they leave a durable artefact and are the fairest evidence base.</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FFF8E1" w:color="auto" w:val="clear"/>
            <w:tcMar>
              <w:top w:type="dxa" w:w="140"/>
              <w:left w:type="dxa" w:w="200"/>
              <w:bottom w:type="dxa" w:w="140"/>
              <w:right w:type="dxa" w:w="200"/>
            </w:tcMar>
          </w:tcPr>
          <w:p>
            <w:r>
              <w:rPr>
                <w:rFonts w:ascii="Calibri" w:cs="Calibri" w:eastAsia="Calibri" w:hAnsi="Calibri"/>
                <w:b/>
                <w:bCs/>
                <w:color w:val="1B2A4E"/>
                <w:spacing w:val="60"/>
                <w:sz w:val="16"/>
                <w:szCs w:val="16"/>
              </w:rPr>
              <w:t xml:space="preserve">Boundary between Contributing (3) and Leading (4)</w:t>
            </w:r>
          </w:p>
          <w:p>
            <w:pPr>
              <w:spacing w:before="60"/>
            </w:pPr>
            <w:r>
              <w:rPr>
                <w:rFonts w:ascii="Calibri" w:cs="Calibri" w:eastAsia="Calibri" w:hAnsi="Calibri"/>
                <w:color w:val="1F2937"/>
                <w:sz w:val="20"/>
                <w:szCs w:val="20"/>
              </w:rPr>
              <w:t xml:space="preserve">A Contributing student answers the prompt well. A Leading student changes what the group is arguing about. If no peer visibly took up the student's framing during discussion, the ceiling is 3 regardless of written quality.</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FFF8E1" w:color="auto" w:val="clear"/>
            <w:tcMar>
              <w:top w:type="dxa" w:w="140"/>
              <w:left w:type="dxa" w:w="200"/>
              <w:bottom w:type="dxa" w:w="140"/>
              <w:right w:type="dxa" w:w="200"/>
            </w:tcMar>
          </w:tcPr>
          <w:p>
            <w:r>
              <w:rPr>
                <w:rFonts w:ascii="Calibri" w:cs="Calibri" w:eastAsia="Calibri" w:hAnsi="Calibri"/>
                <w:b/>
                <w:bCs/>
                <w:color w:val="1B2A4E"/>
                <w:spacing w:val="60"/>
                <w:sz w:val="16"/>
                <w:szCs w:val="16"/>
              </w:rPr>
              <w:t xml:space="preserve">Boundary between Leading (4) and Synthesising (5)</w:t>
            </w:r>
          </w:p>
          <w:p>
            <w:pPr>
              <w:spacing w:before="60"/>
            </w:pPr>
            <w:r>
              <w:rPr>
                <w:rFonts w:ascii="Calibri" w:cs="Calibri" w:eastAsia="Calibri" w:hAnsi="Calibri"/>
                <w:color w:val="1F2937"/>
                <w:sz w:val="20"/>
                <w:szCs w:val="20"/>
              </w:rPr>
              <w:t xml:space="preserve">A Leading student advances the debate. A Synthesising student closes it — they name the underlying disagreement and offer a resolution the group accepts or productively contests. Genuine Level-5 performance is rare and should not be normalised to fit a bell curve.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c>
          <w:tcPr>
            <w:tcW w:type="dxa" w:w="6800"/>
            <w:tcBorders>
              <w:top w:val="single" w:color="D1D5DB" w:sz="6"/>
              <w:left w:val="single" w:color="D1D5DB" w:sz="6"/>
              <w:bottom w:val="single" w:color="D1D5DB" w:sz="6"/>
              <w:right w:val="none" w:color="FFFFFF" w:sz="0"/>
            </w:tcBorders>
            <w:shd w:fill="1B2A4E" w:color="auto" w:val="clear"/>
            <w:tcMar>
              <w:top w:type="dxa" w:w="180"/>
              <w:left w:type="dxa" w:w="220"/>
              <w:bottom w:type="dxa" w:w="180"/>
              <w:right w:type="dxa" w:w="180"/>
            </w:tcMar>
          </w:tcPr>
          <w:p>
            <w:r>
              <w:rPr>
                <w:rFonts w:ascii="Calibri" w:cs="Calibri" w:eastAsia="Calibri" w:hAnsi="Calibri"/>
                <w:b/>
                <w:bCs/>
                <w:color w:val="C9A227"/>
                <w:spacing w:val="60"/>
                <w:sz w:val="16"/>
                <w:szCs w:val="16"/>
              </w:rPr>
              <w:t xml:space="preserve">M.A. PSYCHOLOGY  •  CBCS</w:t>
            </w:r>
          </w:p>
          <w:p>
            <w:pPr>
              <w:spacing w:before="40"/>
            </w:pPr>
            <w:r>
              <w:rPr>
                <w:rFonts w:ascii="Calibri" w:cs="Calibri" w:eastAsia="Calibri" w:hAnsi="Calibri"/>
                <w:b/>
                <w:bCs/>
                <w:color w:val="FFFFFF"/>
                <w:sz w:val="30"/>
                <w:szCs w:val="30"/>
              </w:rPr>
              <w:t xml:space="preserve">Evidence Walkthrough</w:t>
            </w:r>
          </w:p>
          <w:p>
            <w:pPr>
              <w:spacing w:before="20"/>
            </w:pPr>
            <w:r>
              <w:rPr>
                <w:rFonts w:ascii="Calibri" w:cs="Calibri" w:eastAsia="Calibri" w:hAnsi="Calibri"/>
                <w:i/>
                <w:iCs/>
                <w:color w:val="E5E7EB"/>
                <w:sz w:val="20"/>
                <w:szCs w:val="20"/>
              </w:rPr>
              <w:t xml:space="preserve">How to read a self-reflection against the rubric</w:t>
            </w:r>
          </w:p>
        </w:tc>
        <w:tc>
          <w:tcPr>
            <w:tcW w:type="dxa" w:w="2560"/>
            <w:tcBorders>
              <w:top w:val="single" w:color="D1D5DB" w:sz="6"/>
              <w:left w:val="none" w:color="FFFFFF" w:sz="0"/>
              <w:bottom w:val="single" w:color="D1D5DB" w:sz="6"/>
              <w:right w:val="single" w:color="D1D5DB" w:sz="6"/>
            </w:tcBorders>
            <w:shd w:fill="C9A227" w:color="auto" w:val="clear"/>
            <w:tcMar>
              <w:top w:type="dxa" w:w="180"/>
              <w:left w:type="dxa" w:w="180"/>
              <w:bottom w:type="dxa" w:w="180"/>
              <w:right w:type="dxa" w:w="180"/>
            </w:tcMar>
          </w:tcPr>
          <w:p>
            <w:pPr>
              <w:jc w:val="right"/>
            </w:pPr>
            <w:r>
              <w:rPr>
                <w:rFonts w:ascii="Calibri" w:cs="Calibri" w:eastAsia="Calibri" w:hAnsi="Calibri"/>
                <w:b/>
                <w:bCs/>
                <w:color w:val="1B2A4E"/>
                <w:spacing w:val="40"/>
                <w:sz w:val="16"/>
                <w:szCs w:val="16"/>
              </w:rPr>
              <w:t xml:space="preserve">SCORING RUBRIC</w:t>
            </w:r>
          </w:p>
          <w:p>
            <w:pPr>
              <w:spacing w:before="40"/>
              <w:jc w:val="right"/>
            </w:pPr>
            <w:r>
              <w:rPr>
                <w:rFonts w:ascii="Calibri" w:cs="Calibri" w:eastAsia="Calibri" w:hAnsi="Calibri"/>
                <w:i/>
                <w:iCs/>
                <w:color w:val="1B2A4E"/>
                <w:sz w:val="18"/>
                <w:szCs w:val="18"/>
              </w:rPr>
              <w:t xml:space="preserve">For Instructors</w:t>
            </w:r>
          </w:p>
        </w:tc>
      </w:tr>
    </w:tbl>
    <w:p>
      <w:pPr>
        <w:spacing w:after="160"/>
      </w:pPr>
      <w:r>
        <w:rPr>
          <w:rFonts w:ascii="Calibri" w:cs="Calibri" w:eastAsia="Calibri" w:hAnsi="Calibri"/>
        </w:rPr>
        <w:t xml:space="preserve"/>
      </w:r>
    </w:p>
    <w:p>
      <w:pPr>
        <w:spacing w:after="200"/>
      </w:pPr>
      <w:r>
        <w:rPr>
          <w:rFonts w:ascii="Calibri" w:cs="Calibri" w:eastAsia="Calibri" w:hAnsi="Calibri"/>
          <w:color w:val="1F2937"/>
          <w:sz w:val="20"/>
          <w:szCs w:val="20"/>
        </w:rPr>
        <w:t xml:space="preserve">Each example below is a real self-reflection from the Sample Completed Edition, paired with the reasoning that places it at a specific level. Use these as anchor cases when calibrating with a co-instructor.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1D5DB" w:sz="6"/>
              <w:left w:val="single" w:color="D1D5DB" w:sz="6"/>
              <w:bottom w:val="single" w:color="D1D5DB" w:sz="6"/>
              <w:right w:val="single" w:color="D1D5DB" w:sz="6"/>
            </w:tcBorders>
            <w:shd w:fill="0F766E" w:color="auto" w:val="clear"/>
            <w:tcMar>
              <w:top w:type="dxa" w:w="180"/>
              <w:left w:type="dxa" w:w="100"/>
              <w:bottom w:type="dxa" w:w="180"/>
              <w:right w:type="dxa" w:w="100"/>
            </w:tcMar>
            <w:vAlign w:val="center"/>
          </w:tcPr>
          <w:p>
            <w:pPr>
              <w:jc w:val="center"/>
            </w:pPr>
            <w:r>
              <w:rPr>
                <w:rFonts w:ascii="Calibri" w:cs="Calibri" w:eastAsia="Calibri" w:hAnsi="Calibri"/>
                <w:b/>
                <w:bCs/>
                <w:color w:val="FFFFFF"/>
                <w:sz w:val="56"/>
                <w:szCs w:val="56"/>
              </w:rPr>
              <w:t xml:space="preserve">5</w:t>
            </w:r>
          </w:p>
          <w:p>
            <w:pPr>
              <w:jc w:val="center"/>
            </w:pPr>
            <w:r>
              <w:rPr>
                <w:rFonts w:ascii="Calibri" w:cs="Calibri" w:eastAsia="Calibri" w:hAnsi="Calibri"/>
                <w:b/>
                <w:bCs/>
                <w:color w:val="FFFFFF"/>
                <w:spacing w:val="80"/>
                <w:sz w:val="12"/>
                <w:szCs w:val="12"/>
              </w:rPr>
              <w:t xml:space="preserve">SYNTHESISING</w:t>
            </w:r>
          </w:p>
        </w:tc>
        <w:tc>
          <w:tcPr>
            <w:tcW w:type="dxa" w:w="8160"/>
            <w:tcBorders>
              <w:top w:val="single" w:color="D1D5DB" w:sz="6"/>
              <w:left w:val="single" w:color="D1D5DB" w:sz="6"/>
              <w:bottom w:val="single" w:color="D1D5DB" w:sz="6"/>
              <w:right w:val="single" w:color="D1D5DB" w:sz="6"/>
            </w:tcBorders>
            <w:shd w:fill="F8FAFC" w:color="auto" w:val="clear"/>
            <w:tcMar>
              <w:top w:type="dxa" w:w="160"/>
              <w:left w:type="dxa" w:w="220"/>
              <w:bottom w:type="dxa" w:w="160"/>
              <w:right w:type="dxa" w:w="220"/>
            </w:tcMar>
          </w:tcPr>
          <w:p>
            <w:r>
              <w:rPr>
                <w:rFonts w:ascii="Calibri" w:cs="Calibri" w:eastAsia="Calibri" w:hAnsi="Calibri"/>
                <w:b/>
                <w:bCs/>
                <w:color w:val="1B2A4E"/>
                <w:spacing w:val="60"/>
                <w:sz w:val="14"/>
                <w:szCs w:val="14"/>
              </w:rPr>
              <w:t xml:space="preserve">PSY-402  •  Health Psychology</w:t>
            </w:r>
          </w:p>
          <w:p>
            <w:pPr>
              <w:spacing w:after="80" w:before="80"/>
            </w:pPr>
            <w:r>
              <w:rPr>
                <w:rFonts w:ascii="Calibri" w:cs="Calibri" w:eastAsia="Calibri" w:hAnsi="Calibri"/>
                <w:i/>
                <w:iCs/>
                <w:color w:val="1F2937"/>
                <w:sz w:val="19"/>
                <w:szCs w:val="19"/>
              </w:rPr>
              <w:t xml:space="preserve">Before: 'I framed lifestyle change as motivation.'  After: 'It's household infrastructure. Motivational interviewing with a patient whose kitchen he doesn't control is theatre.'  Question: 'How do we build household-level interventions without turning psychologists into family therapists by default?'</w:t>
            </w:r>
          </w:p>
          <w:p>
            <w:pPr>
              <w:spacing w:before="60"/>
            </w:pPr>
            <w:r>
              <w:rPr>
                <w:rFonts w:ascii="Calibri" w:cs="Calibri" w:eastAsia="Calibri" w:hAnsi="Calibri"/>
                <w:b/>
                <w:bCs/>
                <w:color w:val="1B2A4E"/>
                <w:sz w:val="16"/>
                <w:szCs w:val="16"/>
              </w:rPr>
              <w:t xml:space="preserve">Why this level  </w:t>
            </w:r>
            <w:r>
              <w:rPr>
                <w:rFonts w:ascii="Calibri" w:cs="Calibri" w:eastAsia="Calibri" w:hAnsi="Calibri"/>
                <w:color w:val="1F2937"/>
                <w:sz w:val="19"/>
                <w:szCs w:val="19"/>
              </w:rPr>
              <w:t xml:space="preserve">Level 5 because the student names a change in reasoning style (from individual motivation to household infrastructure), delivers a memorable image ('is theatre') that other students subsequently borrowed, and poses a question the field itself is actively debating.</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1D5DB" w:sz="6"/>
              <w:left w:val="single" w:color="D1D5DB" w:sz="6"/>
              <w:bottom w:val="single" w:color="D1D5DB" w:sz="6"/>
              <w:right w:val="single" w:color="D1D5DB" w:sz="6"/>
            </w:tcBorders>
            <w:shd w:fill="1B2A4E" w:color="auto" w:val="clear"/>
            <w:tcMar>
              <w:top w:type="dxa" w:w="180"/>
              <w:left w:type="dxa" w:w="100"/>
              <w:bottom w:type="dxa" w:w="180"/>
              <w:right w:type="dxa" w:w="100"/>
            </w:tcMar>
            <w:vAlign w:val="center"/>
          </w:tcPr>
          <w:p>
            <w:pPr>
              <w:jc w:val="center"/>
            </w:pPr>
            <w:r>
              <w:rPr>
                <w:rFonts w:ascii="Calibri" w:cs="Calibri" w:eastAsia="Calibri" w:hAnsi="Calibri"/>
                <w:b/>
                <w:bCs/>
                <w:color w:val="FFFFFF"/>
                <w:sz w:val="56"/>
                <w:szCs w:val="56"/>
              </w:rPr>
              <w:t xml:space="preserve">4</w:t>
            </w:r>
          </w:p>
          <w:p>
            <w:pPr>
              <w:jc w:val="center"/>
            </w:pPr>
            <w:r>
              <w:rPr>
                <w:rFonts w:ascii="Calibri" w:cs="Calibri" w:eastAsia="Calibri" w:hAnsi="Calibri"/>
                <w:b/>
                <w:bCs/>
                <w:color w:val="FFFFFF"/>
                <w:spacing w:val="80"/>
                <w:sz w:val="12"/>
                <w:szCs w:val="12"/>
              </w:rPr>
              <w:t xml:space="preserve">LEADING</w:t>
            </w:r>
          </w:p>
        </w:tc>
        <w:tc>
          <w:tcPr>
            <w:tcW w:type="dxa" w:w="8160"/>
            <w:tcBorders>
              <w:top w:val="single" w:color="D1D5DB" w:sz="6"/>
              <w:left w:val="single" w:color="D1D5DB" w:sz="6"/>
              <w:bottom w:val="single" w:color="D1D5DB" w:sz="6"/>
              <w:right w:val="single" w:color="D1D5DB" w:sz="6"/>
            </w:tcBorders>
            <w:shd w:fill="F8FAFC" w:color="auto" w:val="clear"/>
            <w:tcMar>
              <w:top w:type="dxa" w:w="160"/>
              <w:left w:type="dxa" w:w="220"/>
              <w:bottom w:type="dxa" w:w="160"/>
              <w:right w:type="dxa" w:w="220"/>
            </w:tcMar>
          </w:tcPr>
          <w:p>
            <w:r>
              <w:rPr>
                <w:rFonts w:ascii="Calibri" w:cs="Calibri" w:eastAsia="Calibri" w:hAnsi="Calibri"/>
                <w:b/>
                <w:bCs/>
                <w:color w:val="1B2A4E"/>
                <w:spacing w:val="60"/>
                <w:sz w:val="14"/>
                <w:szCs w:val="14"/>
              </w:rPr>
              <w:t xml:space="preserve">PSY-201  •  Developmental Psychology</w:t>
            </w:r>
          </w:p>
          <w:p>
            <w:pPr>
              <w:spacing w:after="80" w:before="80"/>
            </w:pPr>
            <w:r>
              <w:rPr>
                <w:rFonts w:ascii="Calibri" w:cs="Calibri" w:eastAsia="Calibri" w:hAnsi="Calibri"/>
                <w:i/>
                <w:iCs/>
                <w:color w:val="1F2937"/>
                <w:sz w:val="19"/>
                <w:szCs w:val="19"/>
              </w:rPr>
              <w:t xml:space="preserve">Before: 'I read Arnett as a global description.'  After: 'It's really an American description that travels poorly. Emerging adulthood in India is a family-embedded negotiation, not an individual-launch phase.'  Question: 'What longitudinal design would actually capture Indian developmental pathways?'</w:t>
            </w:r>
          </w:p>
          <w:p>
            <w:pPr>
              <w:spacing w:before="60"/>
            </w:pPr>
            <w:r>
              <w:rPr>
                <w:rFonts w:ascii="Calibri" w:cs="Calibri" w:eastAsia="Calibri" w:hAnsi="Calibri"/>
                <w:b/>
                <w:bCs/>
                <w:color w:val="1B2A4E"/>
                <w:sz w:val="16"/>
                <w:szCs w:val="16"/>
              </w:rPr>
              <w:t xml:space="preserve">Why this level  </w:t>
            </w:r>
            <w:r>
              <w:rPr>
                <w:rFonts w:ascii="Calibri" w:cs="Calibri" w:eastAsia="Calibri" w:hAnsi="Calibri"/>
                <w:color w:val="1F2937"/>
                <w:sz w:val="19"/>
                <w:szCs w:val="19"/>
              </w:rPr>
              <w:t xml:space="preserve">Level 4, not 5, because the student reframes the construct productively but does not integrate multiple peer contributions or propose a resolution. The open question is a design question, not a field-open question.</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1D5DB" w:sz="6"/>
              <w:left w:val="single" w:color="D1D5DB" w:sz="6"/>
              <w:bottom w:val="single" w:color="D1D5DB" w:sz="6"/>
              <w:right w:val="single" w:color="D1D5DB" w:sz="6"/>
            </w:tcBorders>
            <w:shd w:fill="C9A227" w:color="auto" w:val="clear"/>
            <w:tcMar>
              <w:top w:type="dxa" w:w="180"/>
              <w:left w:type="dxa" w:w="100"/>
              <w:bottom w:type="dxa" w:w="180"/>
              <w:right w:type="dxa" w:w="100"/>
            </w:tcMar>
            <w:vAlign w:val="center"/>
          </w:tcPr>
          <w:p>
            <w:pPr>
              <w:jc w:val="center"/>
            </w:pPr>
            <w:r>
              <w:rPr>
                <w:rFonts w:ascii="Calibri" w:cs="Calibri" w:eastAsia="Calibri" w:hAnsi="Calibri"/>
                <w:b/>
                <w:bCs/>
                <w:color w:val="FFFFFF"/>
                <w:sz w:val="56"/>
                <w:szCs w:val="56"/>
              </w:rPr>
              <w:t xml:space="preserve">3</w:t>
            </w:r>
          </w:p>
          <w:p>
            <w:pPr>
              <w:jc w:val="center"/>
            </w:pPr>
            <w:r>
              <w:rPr>
                <w:rFonts w:ascii="Calibri" w:cs="Calibri" w:eastAsia="Calibri" w:hAnsi="Calibri"/>
                <w:b/>
                <w:bCs/>
                <w:color w:val="FFFFFF"/>
                <w:spacing w:val="80"/>
                <w:sz w:val="12"/>
                <w:szCs w:val="12"/>
              </w:rPr>
              <w:t xml:space="preserve">CONTRIBUTING</w:t>
            </w:r>
          </w:p>
        </w:tc>
        <w:tc>
          <w:tcPr>
            <w:tcW w:type="dxa" w:w="8160"/>
            <w:tcBorders>
              <w:top w:val="single" w:color="D1D5DB" w:sz="6"/>
              <w:left w:val="single" w:color="D1D5DB" w:sz="6"/>
              <w:bottom w:val="single" w:color="D1D5DB" w:sz="6"/>
              <w:right w:val="single" w:color="D1D5DB" w:sz="6"/>
            </w:tcBorders>
            <w:shd w:fill="F8FAFC" w:color="auto" w:val="clear"/>
            <w:tcMar>
              <w:top w:type="dxa" w:w="160"/>
              <w:left w:type="dxa" w:w="220"/>
              <w:bottom w:type="dxa" w:w="160"/>
              <w:right w:type="dxa" w:w="220"/>
            </w:tcMar>
          </w:tcPr>
          <w:p>
            <w:r>
              <w:rPr>
                <w:rFonts w:ascii="Calibri" w:cs="Calibri" w:eastAsia="Calibri" w:hAnsi="Calibri"/>
                <w:b/>
                <w:bCs/>
                <w:color w:val="1B2A4E"/>
                <w:spacing w:val="60"/>
                <w:sz w:val="14"/>
                <w:szCs w:val="14"/>
              </w:rPr>
              <w:t xml:space="preserve">PSY-102  •  Biological Bases of Behaviour</w:t>
            </w:r>
          </w:p>
          <w:p>
            <w:pPr>
              <w:spacing w:after="80" w:before="80"/>
            </w:pPr>
            <w:r>
              <w:rPr>
                <w:rFonts w:ascii="Calibri" w:cs="Calibri" w:eastAsia="Calibri" w:hAnsi="Calibri"/>
                <w:i/>
                <w:iCs/>
                <w:color w:val="1F2937"/>
                <w:sz w:val="19"/>
                <w:szCs w:val="19"/>
              </w:rPr>
              <w:t xml:space="preserve">Before: 'I thought a strong neural finding basically settled a psychological debate.'  After: 'The levels-of-explanation framing convinced me neuroscience is one lens among several.'  Question: 'What would a genuinely Indian neuroscience research programme prioritise?'</w:t>
            </w:r>
          </w:p>
          <w:p>
            <w:pPr>
              <w:spacing w:before="60"/>
            </w:pPr>
            <w:r>
              <w:rPr>
                <w:rFonts w:ascii="Calibri" w:cs="Calibri" w:eastAsia="Calibri" w:hAnsi="Calibri"/>
                <w:b/>
                <w:bCs/>
                <w:color w:val="1B2A4E"/>
                <w:sz w:val="16"/>
                <w:szCs w:val="16"/>
              </w:rPr>
              <w:t xml:space="preserve">Why this level  </w:t>
            </w:r>
            <w:r>
              <w:rPr>
                <w:rFonts w:ascii="Calibri" w:cs="Calibri" w:eastAsia="Calibri" w:hAnsi="Calibri"/>
                <w:color w:val="1F2937"/>
                <w:sz w:val="19"/>
                <w:szCs w:val="19"/>
              </w:rPr>
              <w:t xml:space="preserve">Level 3 because the student names a specific prior belief, credits a specific framework for the shift, and asks a researchable question — but does not push beyond the framework the instructor supplied.</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1D5DB" w:sz="6"/>
              <w:left w:val="single" w:color="D1D5DB" w:sz="6"/>
              <w:bottom w:val="single" w:color="D1D5DB" w:sz="6"/>
              <w:right w:val="single" w:color="D1D5DB" w:sz="6"/>
            </w:tcBorders>
            <w:shd w:fill="B45309" w:color="auto" w:val="clear"/>
            <w:tcMar>
              <w:top w:type="dxa" w:w="180"/>
              <w:left w:type="dxa" w:w="100"/>
              <w:bottom w:type="dxa" w:w="180"/>
              <w:right w:type="dxa" w:w="100"/>
            </w:tcMar>
            <w:vAlign w:val="center"/>
          </w:tcPr>
          <w:p>
            <w:pPr>
              <w:jc w:val="center"/>
            </w:pPr>
            <w:r>
              <w:rPr>
                <w:rFonts w:ascii="Calibri" w:cs="Calibri" w:eastAsia="Calibri" w:hAnsi="Calibri"/>
                <w:b/>
                <w:bCs/>
                <w:color w:val="FFFFFF"/>
                <w:sz w:val="56"/>
                <w:szCs w:val="56"/>
              </w:rPr>
              <w:t xml:space="preserve">2</w:t>
            </w:r>
          </w:p>
          <w:p>
            <w:pPr>
              <w:jc w:val="center"/>
            </w:pPr>
            <w:r>
              <w:rPr>
                <w:rFonts w:ascii="Calibri" w:cs="Calibri" w:eastAsia="Calibri" w:hAnsi="Calibri"/>
                <w:b/>
                <w:bCs/>
                <w:color w:val="FFFFFF"/>
                <w:spacing w:val="80"/>
                <w:sz w:val="12"/>
                <w:szCs w:val="12"/>
              </w:rPr>
              <w:t xml:space="preserve">LISTENING</w:t>
            </w:r>
          </w:p>
        </w:tc>
        <w:tc>
          <w:tcPr>
            <w:tcW w:type="dxa" w:w="8160"/>
            <w:tcBorders>
              <w:top w:val="single" w:color="D1D5DB" w:sz="6"/>
              <w:left w:val="single" w:color="D1D5DB" w:sz="6"/>
              <w:bottom w:val="single" w:color="D1D5DB" w:sz="6"/>
              <w:right w:val="single" w:color="D1D5DB" w:sz="6"/>
            </w:tcBorders>
            <w:shd w:fill="F8FAFC" w:color="auto" w:val="clear"/>
            <w:tcMar>
              <w:top w:type="dxa" w:w="160"/>
              <w:left w:type="dxa" w:w="220"/>
              <w:bottom w:type="dxa" w:w="160"/>
              <w:right w:type="dxa" w:w="220"/>
            </w:tcMar>
          </w:tcPr>
          <w:p>
            <w:r>
              <w:rPr>
                <w:rFonts w:ascii="Calibri" w:cs="Calibri" w:eastAsia="Calibri" w:hAnsi="Calibri"/>
                <w:b/>
                <w:bCs/>
                <w:color w:val="1B2A4E"/>
                <w:spacing w:val="60"/>
                <w:sz w:val="14"/>
                <w:szCs w:val="14"/>
              </w:rPr>
              <w:t xml:space="preserve">Hypothetical — Listening</w:t>
            </w:r>
          </w:p>
          <w:p>
            <w:pPr>
              <w:spacing w:after="80" w:before="80"/>
            </w:pPr>
            <w:r>
              <w:rPr>
                <w:rFonts w:ascii="Calibri" w:cs="Calibri" w:eastAsia="Calibri" w:hAnsi="Calibri"/>
                <w:i/>
                <w:iCs/>
                <w:color w:val="1F2937"/>
                <w:sz w:val="19"/>
                <w:szCs w:val="19"/>
              </w:rPr>
              <w:t xml:space="preserve">Before: 'I hadn't thought about this topic much before class.'  After: 'The discussion covered many perspectives and I learned a lot.'  Question: 'Can we have more examples next time?'</w:t>
            </w:r>
          </w:p>
          <w:p>
            <w:pPr>
              <w:spacing w:before="60"/>
            </w:pPr>
            <w:r>
              <w:rPr>
                <w:rFonts w:ascii="Calibri" w:cs="Calibri" w:eastAsia="Calibri" w:hAnsi="Calibri"/>
                <w:b/>
                <w:bCs/>
                <w:color w:val="1B2A4E"/>
                <w:sz w:val="16"/>
                <w:szCs w:val="16"/>
              </w:rPr>
              <w:t xml:space="preserve">Why this level  </w:t>
            </w:r>
            <w:r>
              <w:rPr>
                <w:rFonts w:ascii="Calibri" w:cs="Calibri" w:eastAsia="Calibri" w:hAnsi="Calibri"/>
                <w:color w:val="1F2937"/>
                <w:sz w:val="19"/>
                <w:szCs w:val="19"/>
              </w:rPr>
              <w:t xml:space="preserve">Level 2 because the reflection describes the session rather than the student's own shift. The 'before' is a non-position, the 'after' is generic, and the question does not open inquiry.</w:t>
            </w:r>
          </w:p>
        </w:tc>
      </w:tr>
    </w:tbl>
    <w:p>
      <w:pPr>
        <w:spacing w:after="140"/>
      </w:pPr>
      <w:r>
        <w:rPr>
          <w:rFonts w:ascii="Calibri" w:cs="Calibri" w:eastAsia="Calibri" w:hAnsi="Calibri"/>
        </w:rP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tblGrid>
      <w:tr>
        <w:tc>
          <w:tcPr>
            <w:tcW w:type="dxa" w:w="6800"/>
            <w:tcBorders>
              <w:top w:val="single" w:color="D1D5DB" w:sz="6"/>
              <w:left w:val="single" w:color="D1D5DB" w:sz="6"/>
              <w:bottom w:val="single" w:color="D1D5DB" w:sz="6"/>
              <w:right w:val="none" w:color="FFFFFF" w:sz="0"/>
            </w:tcBorders>
            <w:shd w:fill="1B2A4E" w:color="auto" w:val="clear"/>
            <w:tcMar>
              <w:top w:type="dxa" w:w="180"/>
              <w:left w:type="dxa" w:w="220"/>
              <w:bottom w:type="dxa" w:w="180"/>
              <w:right w:type="dxa" w:w="180"/>
            </w:tcMar>
          </w:tcPr>
          <w:p>
            <w:r>
              <w:rPr>
                <w:rFonts w:ascii="Calibri" w:cs="Calibri" w:eastAsia="Calibri" w:hAnsi="Calibri"/>
                <w:b/>
                <w:bCs/>
                <w:color w:val="C9A227"/>
                <w:spacing w:val="60"/>
                <w:sz w:val="16"/>
                <w:szCs w:val="16"/>
              </w:rPr>
              <w:t xml:space="preserve">M.A. PSYCHOLOGY  •  CBCS</w:t>
            </w:r>
          </w:p>
          <w:p>
            <w:pPr>
              <w:spacing w:before="40"/>
            </w:pPr>
            <w:r>
              <w:rPr>
                <w:rFonts w:ascii="Calibri" w:cs="Calibri" w:eastAsia="Calibri" w:hAnsi="Calibri"/>
                <w:b/>
                <w:bCs/>
                <w:color w:val="FFFFFF"/>
                <w:sz w:val="30"/>
                <w:szCs w:val="30"/>
              </w:rPr>
              <w:t xml:space="preserve">Aggregation &amp; Moderation</w:t>
            </w:r>
          </w:p>
          <w:p>
            <w:pPr>
              <w:spacing w:before="20"/>
            </w:pPr>
            <w:r>
              <w:rPr>
                <w:rFonts w:ascii="Calibri" w:cs="Calibri" w:eastAsia="Calibri" w:hAnsi="Calibri"/>
                <w:i/>
                <w:iCs/>
                <w:color w:val="E5E7EB"/>
                <w:sz w:val="20"/>
                <w:szCs w:val="20"/>
              </w:rPr>
              <w:t xml:space="preserve">From per-session scores to a semester engagement grade</w:t>
            </w:r>
          </w:p>
        </w:tc>
        <w:tc>
          <w:tcPr>
            <w:tcW w:type="dxa" w:w="2560"/>
            <w:tcBorders>
              <w:top w:val="single" w:color="D1D5DB" w:sz="6"/>
              <w:left w:val="none" w:color="FFFFFF" w:sz="0"/>
              <w:bottom w:val="single" w:color="D1D5DB" w:sz="6"/>
              <w:right w:val="single" w:color="D1D5DB" w:sz="6"/>
            </w:tcBorders>
            <w:shd w:fill="C9A227" w:color="auto" w:val="clear"/>
            <w:tcMar>
              <w:top w:type="dxa" w:w="180"/>
              <w:left w:type="dxa" w:w="180"/>
              <w:bottom w:type="dxa" w:w="180"/>
              <w:right w:type="dxa" w:w="180"/>
            </w:tcMar>
          </w:tcPr>
          <w:p>
            <w:pPr>
              <w:jc w:val="right"/>
            </w:pPr>
            <w:r>
              <w:rPr>
                <w:rFonts w:ascii="Calibri" w:cs="Calibri" w:eastAsia="Calibri" w:hAnsi="Calibri"/>
                <w:b/>
                <w:bCs/>
                <w:color w:val="1B2A4E"/>
                <w:spacing w:val="40"/>
                <w:sz w:val="16"/>
                <w:szCs w:val="16"/>
              </w:rPr>
              <w:t xml:space="preserve">SCORING RUBRIC</w:t>
            </w:r>
          </w:p>
          <w:p>
            <w:pPr>
              <w:spacing w:before="40"/>
              <w:jc w:val="right"/>
            </w:pPr>
            <w:r>
              <w:rPr>
                <w:rFonts w:ascii="Calibri" w:cs="Calibri" w:eastAsia="Calibri" w:hAnsi="Calibri"/>
                <w:i/>
                <w:iCs/>
                <w:color w:val="1B2A4E"/>
                <w:sz w:val="18"/>
                <w:szCs w:val="18"/>
              </w:rPr>
              <w:t xml:space="preserve">For Instructors</w:t>
            </w:r>
          </w:p>
        </w:tc>
      </w:tr>
    </w:tbl>
    <w:p>
      <w:pPr>
        <w:spacing w:after="16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1B2A4E" w:color="auto" w:val="clear"/>
            <w:tcMar>
              <w:top w:type="dxa" w:w="200"/>
              <w:left w:type="dxa" w:w="220"/>
              <w:bottom w:type="dxa" w:w="200"/>
              <w:right w:type="dxa" w:w="220"/>
            </w:tcMar>
          </w:tcPr>
          <w:p>
            <w:pPr>
              <w:jc w:val="center"/>
            </w:pPr>
            <w:r>
              <w:rPr>
                <w:rFonts w:ascii="Calibri" w:cs="Calibri" w:eastAsia="Calibri" w:hAnsi="Calibri"/>
                <w:b/>
                <w:bCs/>
                <w:color w:val="C9A227"/>
                <w:spacing w:val="80"/>
                <w:sz w:val="16"/>
                <w:szCs w:val="16"/>
              </w:rPr>
              <w:t xml:space="preserve">SEMESTER ENGAGEMENT SCORE</w:t>
            </w:r>
          </w:p>
          <w:p>
            <w:pPr>
              <w:spacing w:before="120"/>
              <w:jc w:val="center"/>
            </w:pPr>
            <w:r>
              <w:rPr>
                <w:rFonts w:ascii="Calibri" w:cs="Calibri" w:eastAsia="Calibri" w:hAnsi="Calibri"/>
                <w:b/>
                <w:bCs/>
                <w:color w:val="FFFFFF"/>
                <w:sz w:val="28"/>
                <w:szCs w:val="28"/>
              </w:rPr>
              <w:t xml:space="preserve">=  (Σ session levels − lowest session)  ÷  (n − 1)</w:t>
            </w:r>
          </w:p>
          <w:p>
            <w:pPr>
              <w:spacing w:before="120"/>
              <w:jc w:val="center"/>
            </w:pPr>
            <w:r>
              <w:rPr>
                <w:rFonts w:ascii="Calibri" w:cs="Calibri" w:eastAsia="Calibri" w:hAnsi="Calibri"/>
                <w:i/>
                <w:iCs/>
                <w:color w:val="E5E7EB"/>
                <w:sz w:val="18"/>
                <w:szCs w:val="18"/>
              </w:rPr>
              <w:t xml:space="preserve">Reported as a mean on the 0–4 scale, mapped to letter grades below.</w:t>
            </w:r>
          </w:p>
        </w:tc>
      </w:tr>
    </w:tbl>
    <w:p>
      <w:pPr>
        <w:spacing w:after="20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560"/>
      </w:tblGrid>
      <w:tr>
        <w:trPr>
          <w:tblHeader/>
        </w:trPr>
        <w:tc>
          <w:tcPr>
            <w:tcBorders>
              <w:top w:val="single" w:color="D1D5DB" w:sz="6"/>
              <w:left w:val="single" w:color="D1D5DB" w:sz="6"/>
              <w:bottom w:val="single" w:color="D1D5DB" w:sz="6"/>
              <w:right w:val="single" w:color="D1D5DB" w:sz="6"/>
            </w:tcBorders>
            <w:shd w:fill="1B2A4E" w:color="auto" w:val="clear"/>
            <w:tcMar>
              <w:top w:type="dxa" w:w="80"/>
              <w:left w:type="dxa" w:w="120"/>
              <w:bottom w:type="dxa" w:w="80"/>
              <w:right w:type="dxa" w:w="120"/>
            </w:tcMar>
          </w:tcPr>
          <w:p>
            <w:pPr>
              <w:jc w:val="center"/>
            </w:pPr>
            <w:r>
              <w:rPr>
                <w:rFonts w:ascii="Calibri" w:cs="Calibri" w:eastAsia="Calibri" w:hAnsi="Calibri"/>
                <w:b/>
                <w:bCs/>
                <w:color w:val="FFFFFF"/>
                <w:spacing w:val="60"/>
                <w:sz w:val="14"/>
                <w:szCs w:val="14"/>
              </w:rPr>
              <w:t xml:space="preserve">MEAN SCORE</w:t>
            </w:r>
          </w:p>
        </w:tc>
        <w:tc>
          <w:tcPr>
            <w:tcBorders>
              <w:top w:val="single" w:color="D1D5DB" w:sz="6"/>
              <w:left w:val="single" w:color="D1D5DB" w:sz="6"/>
              <w:bottom w:val="single" w:color="D1D5DB" w:sz="6"/>
              <w:right w:val="single" w:color="D1D5DB" w:sz="6"/>
            </w:tcBorders>
            <w:shd w:fill="1B2A4E" w:color="auto" w:val="clear"/>
            <w:tcMar>
              <w:top w:type="dxa" w:w="80"/>
              <w:left w:type="dxa" w:w="120"/>
              <w:bottom w:type="dxa" w:w="80"/>
              <w:right w:type="dxa" w:w="120"/>
            </w:tcMar>
          </w:tcPr>
          <w:p>
            <w:pPr>
              <w:jc w:val="center"/>
            </w:pPr>
            <w:r>
              <w:rPr>
                <w:rFonts w:ascii="Calibri" w:cs="Calibri" w:eastAsia="Calibri" w:hAnsi="Calibri"/>
                <w:b/>
                <w:bCs/>
                <w:color w:val="FFFFFF"/>
                <w:spacing w:val="60"/>
                <w:sz w:val="14"/>
                <w:szCs w:val="14"/>
              </w:rPr>
              <w:t xml:space="preserve">LETTER GRADE</w:t>
            </w:r>
          </w:p>
        </w:tc>
        <w:tc>
          <w:tcPr>
            <w:tcBorders>
              <w:top w:val="single" w:color="D1D5DB" w:sz="6"/>
              <w:left w:val="single" w:color="D1D5DB" w:sz="6"/>
              <w:bottom w:val="single" w:color="D1D5DB" w:sz="6"/>
              <w:right w:val="single" w:color="D1D5DB" w:sz="6"/>
            </w:tcBorders>
            <w:shd w:fill="1B2A4E" w:color="auto" w:val="clear"/>
            <w:tcMar>
              <w:top w:type="dxa" w:w="80"/>
              <w:left w:type="dxa" w:w="120"/>
              <w:bottom w:type="dxa" w:w="80"/>
              <w:right w:type="dxa" w:w="120"/>
            </w:tcMar>
          </w:tcPr>
          <w:p>
            <w:pPr>
              <w:jc w:val="center"/>
            </w:pPr>
            <w:r>
              <w:rPr>
                <w:rFonts w:ascii="Calibri" w:cs="Calibri" w:eastAsia="Calibri" w:hAnsi="Calibri"/>
                <w:b/>
                <w:bCs/>
                <w:color w:val="FFFFFF"/>
                <w:spacing w:val="60"/>
                <w:sz w:val="14"/>
                <w:szCs w:val="14"/>
              </w:rPr>
              <w:t xml:space="preserve">QUALITATIVE PROFILE</w:t>
            </w:r>
          </w:p>
        </w:tc>
      </w:tr>
      <w:tr>
        <w:tc>
          <w:tcPr>
            <w:tcBorders>
              <w:top w:val="single" w:color="D1D5DB" w:sz="6"/>
              <w:left w:val="single" w:color="D1D5DB" w:sz="6"/>
              <w:bottom w:val="single" w:color="D1D5DB" w:sz="6"/>
              <w:right w:val="single" w:color="D1D5DB" w:sz="6"/>
            </w:tcBorders>
            <w:shd w:fill="F8FAFC"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3.50 – 4.00</w:t>
            </w:r>
          </w:p>
        </w:tc>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O (Outstanding)</w:t>
            </w:r>
          </w:p>
        </w:tc>
        <w:tc>
          <w:tcPr>
            <w:tcBorders>
              <w:top w:val="single" w:color="D1D5DB" w:sz="6"/>
              <w:left w:val="single" w:color="D1D5DB" w:sz="6"/>
              <w:bottom w:val="single" w:color="D1D5DB" w:sz="6"/>
              <w:right w:val="single" w:color="D1D5DB" w:sz="6"/>
            </w:tcBorders>
            <w:shd w:fill="F8FAFC" w:color="auto" w:val="clear"/>
            <w:tcMar>
              <w:top w:type="dxa" w:w="80"/>
              <w:left w:type="dxa" w:w="140"/>
              <w:bottom w:type="dxa" w:w="80"/>
              <w:right w:type="dxa" w:w="120"/>
            </w:tcMar>
          </w:tcPr>
          <w:p>
            <w:r>
              <w:rPr>
                <w:rFonts w:ascii="Calibri" w:cs="Calibri" w:eastAsia="Calibri" w:hAnsi="Calibri"/>
                <w:color w:val="1F2937"/>
                <w:sz w:val="17"/>
                <w:szCs w:val="17"/>
              </w:rPr>
              <w:t xml:space="preserve">Consistently Synthesising; 1–2 Leading sessions permitted.</w:t>
            </w:r>
          </w:p>
        </w:tc>
      </w:tr>
      <w:tr>
        <w:tc>
          <w:tcPr>
            <w:tcBorders>
              <w:top w:val="single" w:color="D1D5DB" w:sz="6"/>
              <w:left w:val="single" w:color="D1D5DB" w:sz="6"/>
              <w:bottom w:val="single" w:color="D1D5DB" w:sz="6"/>
              <w:right w:val="single" w:color="D1D5DB" w:sz="6"/>
            </w:tcBorders>
            <w:shd w:fill="F8FAFC"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2.75 – 3.49</w:t>
            </w:r>
          </w:p>
        </w:tc>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A+ (Excellent)</w:t>
            </w:r>
          </w:p>
        </w:tc>
        <w:tc>
          <w:tcPr>
            <w:tcBorders>
              <w:top w:val="single" w:color="D1D5DB" w:sz="6"/>
              <w:left w:val="single" w:color="D1D5DB" w:sz="6"/>
              <w:bottom w:val="single" w:color="D1D5DB" w:sz="6"/>
              <w:right w:val="single" w:color="D1D5DB" w:sz="6"/>
            </w:tcBorders>
            <w:shd w:fill="F8FAFC" w:color="auto" w:val="clear"/>
            <w:tcMar>
              <w:top w:type="dxa" w:w="80"/>
              <w:left w:type="dxa" w:w="140"/>
              <w:bottom w:type="dxa" w:w="80"/>
              <w:right w:type="dxa" w:w="120"/>
            </w:tcMar>
          </w:tcPr>
          <w:p>
            <w:r>
              <w:rPr>
                <w:rFonts w:ascii="Calibri" w:cs="Calibri" w:eastAsia="Calibri" w:hAnsi="Calibri"/>
                <w:color w:val="1F2937"/>
                <w:sz w:val="17"/>
                <w:szCs w:val="17"/>
              </w:rPr>
              <w:t xml:space="preserve">Predominantly Leading with occasional Synthesising.</w:t>
            </w:r>
          </w:p>
        </w:tc>
      </w:tr>
      <w:tr>
        <w:tc>
          <w:tcPr>
            <w:tcBorders>
              <w:top w:val="single" w:color="D1D5DB" w:sz="6"/>
              <w:left w:val="single" w:color="D1D5DB" w:sz="6"/>
              <w:bottom w:val="single" w:color="D1D5DB" w:sz="6"/>
              <w:right w:val="single" w:color="D1D5DB" w:sz="6"/>
            </w:tcBorders>
            <w:shd w:fill="F8FAFC"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2.00 – 2.74</w:t>
            </w:r>
          </w:p>
        </w:tc>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A (Very Good)</w:t>
            </w:r>
          </w:p>
        </w:tc>
        <w:tc>
          <w:tcPr>
            <w:tcBorders>
              <w:top w:val="single" w:color="D1D5DB" w:sz="6"/>
              <w:left w:val="single" w:color="D1D5DB" w:sz="6"/>
              <w:bottom w:val="single" w:color="D1D5DB" w:sz="6"/>
              <w:right w:val="single" w:color="D1D5DB" w:sz="6"/>
            </w:tcBorders>
            <w:shd w:fill="F8FAFC" w:color="auto" w:val="clear"/>
            <w:tcMar>
              <w:top w:type="dxa" w:w="80"/>
              <w:left w:type="dxa" w:w="140"/>
              <w:bottom w:type="dxa" w:w="80"/>
              <w:right w:type="dxa" w:w="120"/>
            </w:tcMar>
          </w:tcPr>
          <w:p>
            <w:r>
              <w:rPr>
                <w:rFonts w:ascii="Calibri" w:cs="Calibri" w:eastAsia="Calibri" w:hAnsi="Calibri"/>
                <w:color w:val="1F2937"/>
                <w:sz w:val="17"/>
                <w:szCs w:val="17"/>
              </w:rPr>
              <w:t xml:space="preserve">Predominantly Contributing with some Leading.</w:t>
            </w:r>
          </w:p>
        </w:tc>
      </w:tr>
      <w:tr>
        <w:tc>
          <w:tcPr>
            <w:tcBorders>
              <w:top w:val="single" w:color="D1D5DB" w:sz="6"/>
              <w:left w:val="single" w:color="D1D5DB" w:sz="6"/>
              <w:bottom w:val="single" w:color="D1D5DB" w:sz="6"/>
              <w:right w:val="single" w:color="D1D5DB" w:sz="6"/>
            </w:tcBorders>
            <w:shd w:fill="F8FAFC"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1.25 – 1.99</w:t>
            </w:r>
          </w:p>
        </w:tc>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B (Good)</w:t>
            </w:r>
          </w:p>
        </w:tc>
        <w:tc>
          <w:tcPr>
            <w:tcBorders>
              <w:top w:val="single" w:color="D1D5DB" w:sz="6"/>
              <w:left w:val="single" w:color="D1D5DB" w:sz="6"/>
              <w:bottom w:val="single" w:color="D1D5DB" w:sz="6"/>
              <w:right w:val="single" w:color="D1D5DB" w:sz="6"/>
            </w:tcBorders>
            <w:shd w:fill="F8FAFC" w:color="auto" w:val="clear"/>
            <w:tcMar>
              <w:top w:type="dxa" w:w="80"/>
              <w:left w:type="dxa" w:w="140"/>
              <w:bottom w:type="dxa" w:w="80"/>
              <w:right w:type="dxa" w:w="120"/>
            </w:tcMar>
          </w:tcPr>
          <w:p>
            <w:r>
              <w:rPr>
                <w:rFonts w:ascii="Calibri" w:cs="Calibri" w:eastAsia="Calibri" w:hAnsi="Calibri"/>
                <w:color w:val="1F2937"/>
                <w:sz w:val="17"/>
                <w:szCs w:val="17"/>
              </w:rPr>
              <w:t xml:space="preserve">Contributing baseline; occasional Listening lapses.</w:t>
            </w:r>
          </w:p>
        </w:tc>
      </w:tr>
      <w:tr>
        <w:tc>
          <w:tcPr>
            <w:tcBorders>
              <w:top w:val="single" w:color="D1D5DB" w:sz="6"/>
              <w:left w:val="single" w:color="D1D5DB" w:sz="6"/>
              <w:bottom w:val="single" w:color="D1D5DB" w:sz="6"/>
              <w:right w:val="single" w:color="D1D5DB" w:sz="6"/>
            </w:tcBorders>
            <w:shd w:fill="F8FAFC"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0.75 – 1.24</w:t>
            </w:r>
          </w:p>
        </w:tc>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C (Satisfactory)</w:t>
            </w:r>
          </w:p>
        </w:tc>
        <w:tc>
          <w:tcPr>
            <w:tcBorders>
              <w:top w:val="single" w:color="D1D5DB" w:sz="6"/>
              <w:left w:val="single" w:color="D1D5DB" w:sz="6"/>
              <w:bottom w:val="single" w:color="D1D5DB" w:sz="6"/>
              <w:right w:val="single" w:color="D1D5DB" w:sz="6"/>
            </w:tcBorders>
            <w:shd w:fill="F8FAFC" w:color="auto" w:val="clear"/>
            <w:tcMar>
              <w:top w:type="dxa" w:w="80"/>
              <w:left w:type="dxa" w:w="140"/>
              <w:bottom w:type="dxa" w:w="80"/>
              <w:right w:type="dxa" w:w="120"/>
            </w:tcMar>
          </w:tcPr>
          <w:p>
            <w:r>
              <w:rPr>
                <w:rFonts w:ascii="Calibri" w:cs="Calibri" w:eastAsia="Calibri" w:hAnsi="Calibri"/>
                <w:color w:val="1F2937"/>
                <w:sz w:val="17"/>
                <w:szCs w:val="17"/>
              </w:rPr>
              <w:t xml:space="preserve">Listening baseline with rare Contributing moments.</w:t>
            </w:r>
          </w:p>
        </w:tc>
      </w:tr>
      <w:tr>
        <w:tc>
          <w:tcPr>
            <w:tcBorders>
              <w:top w:val="single" w:color="D1D5DB" w:sz="6"/>
              <w:left w:val="single" w:color="D1D5DB" w:sz="6"/>
              <w:bottom w:val="single" w:color="D1D5DB" w:sz="6"/>
              <w:right w:val="single" w:color="D1D5DB" w:sz="6"/>
            </w:tcBorders>
            <w:shd w:fill="F8FAFC"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0.00 – 0.74</w:t>
            </w:r>
          </w:p>
        </w:tc>
        <w:tc>
          <w:tcPr>
            <w:tcBorders>
              <w:top w:val="single" w:color="D1D5DB" w:sz="6"/>
              <w:left w:val="single" w:color="D1D5DB" w:sz="6"/>
              <w:bottom w:val="single" w:color="D1D5DB" w:sz="6"/>
              <w:right w:val="single" w:color="D1D5DB" w:sz="6"/>
            </w:tcBorders>
            <w:shd w:fill="FFF8E1" w:color="auto" w:val="clear"/>
            <w:tcMar>
              <w:top w:type="dxa" w:w="80"/>
              <w:left w:type="dxa" w:w="120"/>
              <w:bottom w:type="dxa" w:w="80"/>
              <w:right w:type="dxa" w:w="120"/>
            </w:tcMar>
          </w:tcPr>
          <w:p>
            <w:pPr>
              <w:jc w:val="center"/>
            </w:pPr>
            <w:r>
              <w:rPr>
                <w:rFonts w:ascii="Calibri" w:cs="Calibri" w:eastAsia="Calibri" w:hAnsi="Calibri"/>
                <w:b/>
                <w:bCs/>
                <w:color w:val="1F2937"/>
                <w:sz w:val="18"/>
                <w:szCs w:val="18"/>
              </w:rPr>
              <w:t xml:space="preserve">F (Not Cleared)</w:t>
            </w:r>
          </w:p>
        </w:tc>
        <w:tc>
          <w:tcPr>
            <w:tcBorders>
              <w:top w:val="single" w:color="D1D5DB" w:sz="6"/>
              <w:left w:val="single" w:color="D1D5DB" w:sz="6"/>
              <w:bottom w:val="single" w:color="D1D5DB" w:sz="6"/>
              <w:right w:val="single" w:color="D1D5DB" w:sz="6"/>
            </w:tcBorders>
            <w:shd w:fill="F8FAFC" w:color="auto" w:val="clear"/>
            <w:tcMar>
              <w:top w:type="dxa" w:w="80"/>
              <w:left w:type="dxa" w:w="140"/>
              <w:bottom w:type="dxa" w:w="80"/>
              <w:right w:type="dxa" w:w="120"/>
            </w:tcMar>
          </w:tcPr>
          <w:p>
            <w:r>
              <w:rPr>
                <w:rFonts w:ascii="Calibri" w:cs="Calibri" w:eastAsia="Calibri" w:hAnsi="Calibri"/>
                <w:color w:val="1F2937"/>
                <w:sz w:val="17"/>
                <w:szCs w:val="17"/>
              </w:rPr>
              <w:t xml:space="preserve">Predominantly Silent; must re-engage with faculty.</w:t>
            </w:r>
          </w:p>
        </w:tc>
      </w:tr>
    </w:tbl>
    <w:p>
      <w:pPr>
        <w:spacing w:after="20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FFF8E1" w:color="auto" w:val="clear"/>
            <w:tcMar>
              <w:top w:type="dxa" w:w="140"/>
              <w:left w:type="dxa" w:w="200"/>
              <w:bottom w:type="dxa" w:w="140"/>
              <w:right w:type="dxa" w:w="200"/>
            </w:tcMar>
          </w:tcPr>
          <w:p>
            <w:r>
              <w:rPr>
                <w:rFonts w:ascii="Calibri" w:cs="Calibri" w:eastAsia="Calibri" w:hAnsi="Calibri"/>
                <w:b/>
                <w:bCs/>
                <w:color w:val="1B2A4E"/>
                <w:spacing w:val="60"/>
                <w:sz w:val="16"/>
                <w:szCs w:val="16"/>
              </w:rPr>
              <w:t xml:space="preserve">Moderation protocol</w:t>
            </w:r>
          </w:p>
          <w:p>
            <w:pPr>
              <w:spacing w:before="60"/>
            </w:pPr>
            <w:r>
              <w:rPr>
                <w:rFonts w:ascii="Calibri" w:cs="Calibri" w:eastAsia="Calibri" w:hAnsi="Calibri"/>
                <w:color w:val="1F2937"/>
                <w:sz w:val="20"/>
                <w:szCs w:val="20"/>
              </w:rPr>
              <w:t xml:space="preserve">At the end of the semester, two instructors independently rate a random 15% of activity cards. Where the pair-difference exceeds one level for more than 10% of the sample, the full cohort is re-rated jointly before grades are finalised. Discrepancies within one level are averaged.</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FFF8E1" w:color="auto" w:val="clear"/>
            <w:tcMar>
              <w:top w:type="dxa" w:w="140"/>
              <w:left w:type="dxa" w:w="200"/>
              <w:bottom w:type="dxa" w:w="140"/>
              <w:right w:type="dxa" w:w="200"/>
            </w:tcMar>
          </w:tcPr>
          <w:p>
            <w:r>
              <w:rPr>
                <w:rFonts w:ascii="Calibri" w:cs="Calibri" w:eastAsia="Calibri" w:hAnsi="Calibri"/>
                <w:b/>
                <w:bCs/>
                <w:color w:val="1B2A4E"/>
                <w:spacing w:val="60"/>
                <w:sz w:val="16"/>
                <w:szCs w:val="16"/>
              </w:rPr>
              <w:t xml:space="preserve">Student appeal</w:t>
            </w:r>
          </w:p>
          <w:p>
            <w:pPr>
              <w:spacing w:before="60"/>
            </w:pPr>
            <w:r>
              <w:rPr>
                <w:rFonts w:ascii="Calibri" w:cs="Calibri" w:eastAsia="Calibri" w:hAnsi="Calibri"/>
                <w:color w:val="1F2937"/>
                <w:sz w:val="20"/>
                <w:szCs w:val="20"/>
              </w:rPr>
              <w:t xml:space="preserve">A student may appeal any session score within seven days by submitting the completed activity card plus a 150-word justification citing the rubric. The instructor of record reviews with a second faculty member; the decision is final.</w:t>
            </w:r>
          </w:p>
        </w:tc>
      </w:tr>
    </w:tbl>
    <w:p>
      <w:pPr>
        <w:spacing w:after="14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1D5DB" w:sz="6"/>
              <w:left w:val="single" w:color="D1D5DB" w:sz="6"/>
              <w:bottom w:val="single" w:color="D1D5DB" w:sz="6"/>
              <w:right w:val="single" w:color="D1D5DB" w:sz="6"/>
            </w:tcBorders>
            <w:shd w:fill="FFF8E1" w:color="auto" w:val="clear"/>
            <w:tcMar>
              <w:top w:type="dxa" w:w="140"/>
              <w:left w:type="dxa" w:w="200"/>
              <w:bottom w:type="dxa" w:w="140"/>
              <w:right w:type="dxa" w:w="200"/>
            </w:tcMar>
          </w:tcPr>
          <w:p>
            <w:r>
              <w:rPr>
                <w:rFonts w:ascii="Calibri" w:cs="Calibri" w:eastAsia="Calibri" w:hAnsi="Calibri"/>
                <w:b/>
                <w:bCs/>
                <w:color w:val="1B2A4E"/>
                <w:spacing w:val="60"/>
                <w:sz w:val="16"/>
                <w:szCs w:val="16"/>
              </w:rPr>
              <w:t xml:space="preserve">What this rubric does NOT measure</w:t>
            </w:r>
          </w:p>
          <w:p>
            <w:pPr>
              <w:spacing w:before="60"/>
            </w:pPr>
            <w:r>
              <w:rPr>
                <w:rFonts w:ascii="Calibri" w:cs="Calibri" w:eastAsia="Calibri" w:hAnsi="Calibri"/>
                <w:color w:val="1F2937"/>
                <w:sz w:val="20"/>
                <w:szCs w:val="20"/>
              </w:rPr>
              <w:t xml:space="preserve">Correctness of factual content is assessed elsewhere (assignments, exams). This rubric measures the quality of engagement — participation, depth, reflection — regardless of whether the student's ultimate position is one the instructor agrees with. A well-argued minority view can score 5.</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6B7280"/>
        <w:sz w:val="16"/>
        <w:szCs w:val="16"/>
      </w:rPr>
      <w:t xml:space="preserve">Page </w:t>
    </w:r>
    <w:r>
      <w:rPr>
        <w:rFonts w:ascii="Calibri" w:cs="Calibri" w:eastAsia="Calibri" w:hAnsi="Calibri"/>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7280"/>
        <w:sz w:val="16"/>
        <w:szCs w:val="16"/>
      </w:rPr>
      <w:t xml:space="preserve">M.A. Psychology  •  Brainstorming Engagement Scoring Rubric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Brainstorming Engagement Scoring Rubric</dc:title>
  <dc:creator>Lovable</dc:creator>
  <cp:lastModifiedBy>Un-named</cp:lastModifiedBy>
  <cp:revision>1</cp:revision>
  <dcterms:created xsi:type="dcterms:W3CDTF">2026-07-02T02:21:10.294Z</dcterms:created>
  <dcterms:modified xsi:type="dcterms:W3CDTF">2026-07-02T02:21:10.295Z</dcterms:modified>
</cp:coreProperties>
</file>

<file path=docProps/custom.xml><?xml version="1.0" encoding="utf-8"?>
<Properties xmlns="http://schemas.openxmlformats.org/officeDocument/2006/custom-properties" xmlns:vt="http://schemas.openxmlformats.org/officeDocument/2006/docPropsVTypes"/>
</file>