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bCs/>
          <w:color w:val="1F4E79"/>
          <w:sz w:val="44"/>
          <w:szCs w:val="44"/>
        </w:rPr>
        <w:t xml:space="preserve">Detailed Report</w:t>
      </w:r>
    </w:p>
    <w:p>
      <w:pPr>
        <w:spacing w:after="240"/>
        <w:jc w:val="center"/>
      </w:pPr>
      <w:r>
        <w:rPr>
          <w:b/>
          <w:bCs/>
          <w:color w:val="2E75B6"/>
          <w:sz w:val="32"/>
          <w:szCs w:val="32"/>
        </w:rPr>
        <w:t xml:space="preserve">PO, CO to OBE Calculator</w:t>
      </w:r>
    </w:p>
    <w:p>
      <w:pPr>
        <w:spacing w:after="480"/>
        <w:jc w:val="center"/>
      </w:pPr>
      <w:r>
        <w:rPr>
          <w:i/>
          <w:iCs/>
          <w:sz w:val="22"/>
          <w:szCs w:val="22"/>
        </w:rPr>
        <w:t xml:space="preserve">An Outcome-Based Education (OBE) Attainment Framework</w:t>
      </w:r>
    </w:p>
    <w:p>
      <w:pPr>
        <w:pStyle w:val="Heading1"/>
      </w:pPr>
      <w:r>
        <w:rPr>
          <w:b/>
          <w:bCs/>
        </w:rPr>
        <w:t xml:space="preserve">1. Executive Summary</w:t>
      </w:r>
    </w:p>
    <w:p>
      <w:pPr>
        <w:spacing w:after="120"/>
      </w:pPr>
      <w:r>
        <w:t xml:space="preserve">Outcome-Based Education (OBE) is an academic framework in which curriculum design, delivery, and assessment are structured around clearly defined learning outcomes. The PO, CO to OBE Calculator is a software tool that automates the computation of Course Outcome (CO) attainment, its mapping to Program Outcomes (PO) and Program Specific Outcomes (PSO), and the final OBE attainment levels required for accreditation bodies such as NBA (India), ABET (USA), and the Washington Accord.</w:t>
      </w:r>
    </w:p>
    <w:p>
      <w:pPr>
        <w:spacing w:after="120"/>
      </w:pPr>
      <w:r>
        <w:t xml:space="preserve">This report presents a complete description of the calculator: the pedagogical concepts it implements, the mathematical model, the input and output data, the calculation workflow, the system architecture, sample computations, and the benefits it delivers to educational institutions.</w:t>
      </w:r>
    </w:p>
    <w:p>
      <w:pPr>
        <w:pStyle w:val="Heading1"/>
      </w:pPr>
      <w:r>
        <w:rPr>
          <w:b/>
          <w:bCs/>
        </w:rPr>
        <w:t xml:space="preserve">2. Background: OBE, PO and CO</w:t>
      </w:r>
    </w:p>
    <w:p>
      <w:pPr>
        <w:pStyle w:val="Heading2"/>
      </w:pPr>
      <w:r>
        <w:rPr>
          <w:b/>
          <w:bCs/>
        </w:rPr>
        <w:t xml:space="preserve">2.1 Outcome-Based Education (OBE)</w:t>
      </w:r>
    </w:p>
    <w:p>
      <w:pPr>
        <w:spacing w:after="120"/>
      </w:pPr>
      <w:r>
        <w:t xml:space="preserve">OBE is a student-centric instructional approach that measures student performance through observable outcomes rather than through inputs such as instruction hours. Every academic activity - lecture, lab, assignment, project, exam - is aligned with a measurable outcome.</w:t>
      </w:r>
    </w:p>
    <w:p>
      <w:pPr>
        <w:pStyle w:val="Heading2"/>
      </w:pPr>
      <w:r>
        <w:rPr>
          <w:b/>
          <w:bCs/>
        </w:rPr>
        <w:t xml:space="preserve">2.2 Program Outcomes (PO)</w:t>
      </w:r>
    </w:p>
    <w:p>
      <w:pPr>
        <w:spacing w:after="120"/>
      </w:pPr>
      <w:r>
        <w:t xml:space="preserve">Program Outcomes are broad statements that describe what students are expected to know and be able to do at the time of graduation. For engineering programs under the NBA, there are 12 standard POs (PO1-PO12) covering engineering knowledge, problem analysis, design, investigation, modern tool usage, engineering &amp; society, environment &amp; sustainability, ethics, individual &amp; team work, communication, project management, and life-long learning.</w:t>
      </w:r>
    </w:p>
    <w:p>
      <w:pPr>
        <w:pStyle w:val="Heading2"/>
      </w:pPr>
      <w:r>
        <w:rPr>
          <w:b/>
          <w:bCs/>
        </w:rPr>
        <w:t xml:space="preserve">2.3 Program Specific Outcomes (PSO)</w:t>
      </w:r>
    </w:p>
    <w:p>
      <w:pPr>
        <w:spacing w:after="120"/>
      </w:pPr>
      <w:r>
        <w:t xml:space="preserve">PSOs are program-specific statements (typically PSO1-PSO3) defined by each department to describe discipline-specific competencies expected of graduates.</w:t>
      </w:r>
    </w:p>
    <w:p>
      <w:pPr>
        <w:pStyle w:val="Heading2"/>
      </w:pPr>
      <w:r>
        <w:rPr>
          <w:b/>
          <w:bCs/>
        </w:rPr>
        <w:t xml:space="preserve">2.4 Course Outcomes (CO)</w:t>
      </w:r>
    </w:p>
    <w:p>
      <w:pPr>
        <w:spacing w:after="120"/>
      </w:pPr>
      <w:r>
        <w:t xml:space="preserve">Course Outcomes are narrower statements defined for each course (typically CO1-CO6). They describe what a student should be able to do after successfully completing the course. COs are written using measurable action verbs from Bloom's Taxonomy such as define, apply, analyze, evaluate, and design.</w:t>
      </w:r>
    </w:p>
    <w:p>
      <w:pPr>
        <w:pStyle w:val="Heading1"/>
      </w:pPr>
      <w:r>
        <w:rPr>
          <w:b/>
          <w:bCs/>
        </w:rPr>
        <w:t xml:space="preserve">3. Purpose of the Calculator</w:t>
      </w:r>
    </w:p>
    <w:p>
      <w:pPr>
        <w:pStyle w:val="ListParagraph"/>
        <w:numPr>
          <w:ilvl w:val="0"/>
          <w:numId w:val="2"/>
        </w:numPr>
      </w:pPr>
      <w:r>
        <w:t xml:space="preserve">Automate CO attainment calculation from internal assessments and end-semester examinations.</w:t>
      </w:r>
    </w:p>
    <w:p>
      <w:pPr>
        <w:pStyle w:val="ListParagraph"/>
        <w:numPr>
          <w:ilvl w:val="0"/>
          <w:numId w:val="2"/>
        </w:numPr>
      </w:pPr>
      <w:r>
        <w:t xml:space="preserve">Compute PO and PSO attainment from CO-PO/PSO mapping matrices.</w:t>
      </w:r>
    </w:p>
    <w:p>
      <w:pPr>
        <w:pStyle w:val="ListParagraph"/>
        <w:numPr>
          <w:ilvl w:val="0"/>
          <w:numId w:val="2"/>
        </w:numPr>
      </w:pPr>
      <w:r>
        <w:t xml:space="preserve">Reduce manual effort, spreadsheet errors, and inconsistencies across faculty.</w:t>
      </w:r>
    </w:p>
    <w:p>
      <w:pPr>
        <w:pStyle w:val="ListParagraph"/>
        <w:numPr>
          <w:ilvl w:val="0"/>
          <w:numId w:val="2"/>
        </w:numPr>
      </w:pPr>
      <w:r>
        <w:t xml:space="preserve">Generate standardized reports for NBA / ABET accreditation submissions.</w:t>
      </w:r>
    </w:p>
    <w:p>
      <w:pPr>
        <w:pStyle w:val="ListParagraph"/>
        <w:numPr>
          <w:ilvl w:val="0"/>
          <w:numId w:val="2"/>
        </w:numPr>
      </w:pPr>
      <w:r>
        <w:t xml:space="preserve">Provide actionable insight for continuous improvement of teaching-learning processes.</w:t>
      </w:r>
    </w:p>
    <w:p>
      <w:pPr>
        <w:pStyle w:val="Heading1"/>
      </w:pPr>
      <w:r>
        <w:rPr>
          <w:b/>
          <w:bCs/>
        </w:rPr>
        <w:t xml:space="preserve">4. CO-PO Mapping Concept</w:t>
      </w:r>
    </w:p>
    <w:p>
      <w:pPr>
        <w:spacing w:after="120"/>
      </w:pPr>
      <w:r>
        <w:t xml:space="preserve">Each Course Outcome is mapped to one or more Program Outcomes using a correlation level on a 3-point scale. The mapping is captured in a CO-PO matrix that the calculator uses as one of its primary inputs.</w:t>
      </w:r>
    </w:p>
    <w:p>
      <w:pPr>
        <w:pStyle w:val="Heading2"/>
      </w:pPr>
      <w:r>
        <w:rPr>
          <w:b/>
          <w:bCs/>
        </w:rPr>
        <w:t xml:space="preserve">4.1 Correlation Scale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rPr>
          <w:tblHeader/>
        </w:trPr>
        <w:tc>
          <w:tcPr>
            <w:tcW w:type="dxa" w:w="1560"/>
            <w:tcBorders>
              <w:top w:val="single" w:color="888888" w:sz="4"/>
              <w:left w:val="single" w:color="888888" w:sz="4"/>
              <w:bottom w:val="single" w:color="888888" w:sz="4"/>
              <w:right w:val="single" w:color="888888" w:sz="4"/>
            </w:tcBorders>
            <w:shd w:fill="D9E7F5" w:val="clear"/>
            <w:tcMar>
              <w:top w:type="dxa" w:w="80"/>
              <w:left w:type="dxa" w:w="120"/>
              <w:bottom w:type="dxa" w:w="80"/>
              <w:right w:type="dxa" w:w="120"/>
            </w:tcMar>
          </w:tcPr>
          <w:p>
            <w:r>
              <w:rPr>
                <w:b/>
                <w:bCs/>
              </w:rPr>
              <w:t xml:space="preserve">Level</w:t>
            </w:r>
          </w:p>
        </w:tc>
        <w:tc>
          <w:tcPr>
            <w:tcW w:type="dxa" w:w="7800"/>
            <w:tcBorders>
              <w:top w:val="single" w:color="888888" w:sz="4"/>
              <w:left w:val="single" w:color="888888" w:sz="4"/>
              <w:bottom w:val="single" w:color="888888" w:sz="4"/>
              <w:right w:val="single" w:color="888888" w:sz="4"/>
            </w:tcBorders>
            <w:shd w:fill="D9E7F5" w:val="clear"/>
            <w:tcMar>
              <w:top w:type="dxa" w:w="80"/>
              <w:left w:type="dxa" w:w="120"/>
              <w:bottom w:type="dxa" w:w="80"/>
              <w:right w:type="dxa" w:w="120"/>
            </w:tcMar>
          </w:tcPr>
          <w:p>
            <w:r>
              <w:rPr>
                <w:b/>
                <w:bCs/>
              </w:rPr>
              <w:t xml:space="preserve">Meaning</w:t>
            </w:r>
          </w:p>
        </w:tc>
      </w:tr>
      <w:tr>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3</w:t>
            </w:r>
          </w:p>
        </w:tc>
        <w:tc>
          <w:tcPr>
            <w:tcW w:type="dxa" w:w="780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Strong / Substantial correlation between CO and PO</w:t>
            </w:r>
          </w:p>
        </w:tc>
      </w:tr>
      <w:tr>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2</w:t>
            </w:r>
          </w:p>
        </w:tc>
        <w:tc>
          <w:tcPr>
            <w:tcW w:type="dxa" w:w="780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Moderate correlation</w:t>
            </w:r>
          </w:p>
        </w:tc>
      </w:tr>
      <w:tr>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1</w:t>
            </w:r>
          </w:p>
        </w:tc>
        <w:tc>
          <w:tcPr>
            <w:tcW w:type="dxa" w:w="780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Slight / Low correlation</w:t>
            </w:r>
          </w:p>
        </w:tc>
      </w:tr>
      <w:tr>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w:t>
            </w:r>
          </w:p>
        </w:tc>
        <w:tc>
          <w:tcPr>
            <w:tcW w:type="dxa" w:w="780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No correlation</w:t>
            </w:r>
          </w:p>
        </w:tc>
      </w:tr>
    </w:tbl>
    <w:p>
      <w:pPr>
        <w:spacing w:after="120"/>
      </w:pPr>
      <w:r>
        <w:t xml:space="preserve"/>
      </w:r>
    </w:p>
    <w:p>
      <w:pPr>
        <w:pStyle w:val="Heading2"/>
      </w:pPr>
      <w:r>
        <w:rPr>
          <w:b/>
          <w:bCs/>
        </w:rPr>
        <w:t xml:space="preserve">4.2 Sample CO-PO Mapping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tblHeader/>
        </w:trPr>
        <w:tc>
          <w:tcPr>
            <w:tcW w:type="dxa" w:w="1560"/>
            <w:tcBorders>
              <w:top w:val="single" w:color="888888" w:sz="4"/>
              <w:left w:val="single" w:color="888888" w:sz="4"/>
              <w:bottom w:val="single" w:color="888888" w:sz="4"/>
              <w:right w:val="single" w:color="888888" w:sz="4"/>
            </w:tcBorders>
            <w:shd w:fill="D9E7F5" w:val="clear"/>
            <w:tcMar>
              <w:top w:type="dxa" w:w="80"/>
              <w:left w:type="dxa" w:w="120"/>
              <w:bottom w:type="dxa" w:w="80"/>
              <w:right w:type="dxa" w:w="120"/>
            </w:tcMar>
          </w:tcPr>
          <w:p>
            <w:r>
              <w:rPr>
                <w:b/>
                <w:bCs/>
              </w:rPr>
              <w:t xml:space="preserve">CO / PO</w:t>
            </w:r>
          </w:p>
        </w:tc>
        <w:tc>
          <w:tcPr>
            <w:tcW w:type="dxa" w:w="1560"/>
            <w:tcBorders>
              <w:top w:val="single" w:color="888888" w:sz="4"/>
              <w:left w:val="single" w:color="888888" w:sz="4"/>
              <w:bottom w:val="single" w:color="888888" w:sz="4"/>
              <w:right w:val="single" w:color="888888" w:sz="4"/>
            </w:tcBorders>
            <w:shd w:fill="D9E7F5" w:val="clear"/>
            <w:tcMar>
              <w:top w:type="dxa" w:w="80"/>
              <w:left w:type="dxa" w:w="120"/>
              <w:bottom w:type="dxa" w:w="80"/>
              <w:right w:type="dxa" w:w="120"/>
            </w:tcMar>
          </w:tcPr>
          <w:p>
            <w:r>
              <w:rPr>
                <w:b/>
                <w:bCs/>
              </w:rPr>
              <w:t xml:space="preserve">PO1</w:t>
            </w:r>
          </w:p>
        </w:tc>
        <w:tc>
          <w:tcPr>
            <w:tcW w:type="dxa" w:w="1560"/>
            <w:tcBorders>
              <w:top w:val="single" w:color="888888" w:sz="4"/>
              <w:left w:val="single" w:color="888888" w:sz="4"/>
              <w:bottom w:val="single" w:color="888888" w:sz="4"/>
              <w:right w:val="single" w:color="888888" w:sz="4"/>
            </w:tcBorders>
            <w:shd w:fill="D9E7F5" w:val="clear"/>
            <w:tcMar>
              <w:top w:type="dxa" w:w="80"/>
              <w:left w:type="dxa" w:w="120"/>
              <w:bottom w:type="dxa" w:w="80"/>
              <w:right w:type="dxa" w:w="120"/>
            </w:tcMar>
          </w:tcPr>
          <w:p>
            <w:r>
              <w:rPr>
                <w:b/>
                <w:bCs/>
              </w:rPr>
              <w:t xml:space="preserve">PO2</w:t>
            </w:r>
          </w:p>
        </w:tc>
        <w:tc>
          <w:tcPr>
            <w:tcW w:type="dxa" w:w="1560"/>
            <w:tcBorders>
              <w:top w:val="single" w:color="888888" w:sz="4"/>
              <w:left w:val="single" w:color="888888" w:sz="4"/>
              <w:bottom w:val="single" w:color="888888" w:sz="4"/>
              <w:right w:val="single" w:color="888888" w:sz="4"/>
            </w:tcBorders>
            <w:shd w:fill="D9E7F5" w:val="clear"/>
            <w:tcMar>
              <w:top w:type="dxa" w:w="80"/>
              <w:left w:type="dxa" w:w="120"/>
              <w:bottom w:type="dxa" w:w="80"/>
              <w:right w:type="dxa" w:w="120"/>
            </w:tcMar>
          </w:tcPr>
          <w:p>
            <w:r>
              <w:rPr>
                <w:b/>
                <w:bCs/>
              </w:rPr>
              <w:t xml:space="preserve">PO3</w:t>
            </w:r>
          </w:p>
        </w:tc>
        <w:tc>
          <w:tcPr>
            <w:tcW w:type="dxa" w:w="1560"/>
            <w:tcBorders>
              <w:top w:val="single" w:color="888888" w:sz="4"/>
              <w:left w:val="single" w:color="888888" w:sz="4"/>
              <w:bottom w:val="single" w:color="888888" w:sz="4"/>
              <w:right w:val="single" w:color="888888" w:sz="4"/>
            </w:tcBorders>
            <w:shd w:fill="D9E7F5" w:val="clear"/>
            <w:tcMar>
              <w:top w:type="dxa" w:w="80"/>
              <w:left w:type="dxa" w:w="120"/>
              <w:bottom w:type="dxa" w:w="80"/>
              <w:right w:type="dxa" w:w="120"/>
            </w:tcMar>
          </w:tcPr>
          <w:p>
            <w:r>
              <w:rPr>
                <w:b/>
                <w:bCs/>
              </w:rPr>
              <w:t xml:space="preserve">PO4</w:t>
            </w:r>
          </w:p>
        </w:tc>
        <w:tc>
          <w:tcPr>
            <w:tcW w:type="dxa" w:w="1560"/>
            <w:tcBorders>
              <w:top w:val="single" w:color="888888" w:sz="4"/>
              <w:left w:val="single" w:color="888888" w:sz="4"/>
              <w:bottom w:val="single" w:color="888888" w:sz="4"/>
              <w:right w:val="single" w:color="888888" w:sz="4"/>
            </w:tcBorders>
            <w:shd w:fill="D9E7F5" w:val="clear"/>
            <w:tcMar>
              <w:top w:type="dxa" w:w="80"/>
              <w:left w:type="dxa" w:w="120"/>
              <w:bottom w:type="dxa" w:w="80"/>
              <w:right w:type="dxa" w:w="120"/>
            </w:tcMar>
          </w:tcPr>
          <w:p>
            <w:r>
              <w:rPr>
                <w:b/>
                <w:bCs/>
              </w:rPr>
              <w:t xml:space="preserve">PO5</w:t>
            </w:r>
          </w:p>
        </w:tc>
      </w:tr>
      <w:tr>
        <w:tc>
          <w:tcPr>
            <w:tcW w:type="dxa" w:w="1560"/>
            <w:tcBorders>
              <w:top w:val="single" w:color="888888" w:sz="4"/>
              <w:left w:val="single" w:color="888888" w:sz="4"/>
              <w:bottom w:val="single" w:color="888888" w:sz="4"/>
              <w:right w:val="single" w:color="888888" w:sz="4"/>
            </w:tcBorders>
            <w:shd w:fill="D9E7F5" w:val="clear"/>
            <w:tcMar>
              <w:top w:type="dxa" w:w="80"/>
              <w:left w:type="dxa" w:w="120"/>
              <w:bottom w:type="dxa" w:w="80"/>
              <w:right w:type="dxa" w:w="120"/>
            </w:tcMar>
          </w:tcPr>
          <w:p>
            <w:r>
              <w:rPr>
                <w:b/>
                <w:bCs/>
              </w:rPr>
              <w:t xml:space="preserve">CO1</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3</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2</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2</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1</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2</w:t>
            </w:r>
          </w:p>
        </w:tc>
      </w:tr>
      <w:tr>
        <w:tc>
          <w:tcPr>
            <w:tcW w:type="dxa" w:w="1560"/>
            <w:tcBorders>
              <w:top w:val="single" w:color="888888" w:sz="4"/>
              <w:left w:val="single" w:color="888888" w:sz="4"/>
              <w:bottom w:val="single" w:color="888888" w:sz="4"/>
              <w:right w:val="single" w:color="888888" w:sz="4"/>
            </w:tcBorders>
            <w:shd w:fill="D9E7F5" w:val="clear"/>
            <w:tcMar>
              <w:top w:type="dxa" w:w="80"/>
              <w:left w:type="dxa" w:w="120"/>
              <w:bottom w:type="dxa" w:w="80"/>
              <w:right w:type="dxa" w:w="120"/>
            </w:tcMar>
          </w:tcPr>
          <w:p>
            <w:r>
              <w:rPr>
                <w:b/>
                <w:bCs/>
              </w:rPr>
              <w:t xml:space="preserve">CO2</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2</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3</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3</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2</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1</w:t>
            </w:r>
          </w:p>
        </w:tc>
      </w:tr>
      <w:tr>
        <w:tc>
          <w:tcPr>
            <w:tcW w:type="dxa" w:w="1560"/>
            <w:tcBorders>
              <w:top w:val="single" w:color="888888" w:sz="4"/>
              <w:left w:val="single" w:color="888888" w:sz="4"/>
              <w:bottom w:val="single" w:color="888888" w:sz="4"/>
              <w:right w:val="single" w:color="888888" w:sz="4"/>
            </w:tcBorders>
            <w:shd w:fill="D9E7F5" w:val="clear"/>
            <w:tcMar>
              <w:top w:type="dxa" w:w="80"/>
              <w:left w:type="dxa" w:w="120"/>
              <w:bottom w:type="dxa" w:w="80"/>
              <w:right w:type="dxa" w:w="120"/>
            </w:tcMar>
          </w:tcPr>
          <w:p>
            <w:r>
              <w:rPr>
                <w:b/>
                <w:bCs/>
              </w:rPr>
              <w:t xml:space="preserve">CO3</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3</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3</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2</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2</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3</w:t>
            </w:r>
          </w:p>
        </w:tc>
      </w:tr>
      <w:tr>
        <w:tc>
          <w:tcPr>
            <w:tcW w:type="dxa" w:w="1560"/>
            <w:tcBorders>
              <w:top w:val="single" w:color="888888" w:sz="4"/>
              <w:left w:val="single" w:color="888888" w:sz="4"/>
              <w:bottom w:val="single" w:color="888888" w:sz="4"/>
              <w:right w:val="single" w:color="888888" w:sz="4"/>
            </w:tcBorders>
            <w:shd w:fill="D9E7F5" w:val="clear"/>
            <w:tcMar>
              <w:top w:type="dxa" w:w="80"/>
              <w:left w:type="dxa" w:w="120"/>
              <w:bottom w:type="dxa" w:w="80"/>
              <w:right w:type="dxa" w:w="120"/>
            </w:tcMar>
          </w:tcPr>
          <w:p>
            <w:r>
              <w:rPr>
                <w:b/>
                <w:bCs/>
              </w:rPr>
              <w:t xml:space="preserve">CO4</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2</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2</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3</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3</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2</w:t>
            </w:r>
          </w:p>
        </w:tc>
      </w:tr>
      <w:tr>
        <w:tc>
          <w:tcPr>
            <w:tcW w:type="dxa" w:w="1560"/>
            <w:tcBorders>
              <w:top w:val="single" w:color="888888" w:sz="4"/>
              <w:left w:val="single" w:color="888888" w:sz="4"/>
              <w:bottom w:val="single" w:color="888888" w:sz="4"/>
              <w:right w:val="single" w:color="888888" w:sz="4"/>
            </w:tcBorders>
            <w:shd w:fill="D9E7F5" w:val="clear"/>
            <w:tcMar>
              <w:top w:type="dxa" w:w="80"/>
              <w:left w:type="dxa" w:w="120"/>
              <w:bottom w:type="dxa" w:w="80"/>
              <w:right w:type="dxa" w:w="120"/>
            </w:tcMar>
          </w:tcPr>
          <w:p>
            <w:r>
              <w:rPr>
                <w:b/>
                <w:bCs/>
              </w:rPr>
              <w:t xml:space="preserve">CO5</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3</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2</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2</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3</w:t>
            </w:r>
          </w:p>
        </w:tc>
        <w:tc>
          <w:tcPr>
            <w:tcW w:type="dxa" w:w="1560"/>
            <w:tcBorders>
              <w:top w:val="single" w:color="888888" w:sz="4"/>
              <w:left w:val="single" w:color="888888" w:sz="4"/>
              <w:bottom w:val="single" w:color="888888" w:sz="4"/>
              <w:right w:val="single" w:color="888888" w:sz="4"/>
            </w:tcBorders>
            <w:tcMar>
              <w:top w:type="dxa" w:w="80"/>
              <w:left w:type="dxa" w:w="120"/>
              <w:bottom w:type="dxa" w:w="80"/>
              <w:right w:type="dxa" w:w="120"/>
            </w:tcMar>
          </w:tcPr>
          <w:p>
            <w:r>
              <w:rPr>
                <w:b w:val="false"/>
                <w:bCs w:val="false"/>
              </w:rPr>
              <w:t xml:space="preserve">3</w:t>
            </w:r>
          </w:p>
        </w:tc>
      </w:tr>
    </w:tbl>
    <w:p>
      <w:pPr>
        <w:spacing w:after="120"/>
      </w:pPr>
      <w:r>
        <w:t xml:space="preserve"/>
      </w:r>
    </w:p>
    <w:p>
      <w:pPr>
        <w:pStyle w:val="Heading1"/>
      </w:pPr>
      <w:r>
        <w:rPr>
          <w:b/>
          <w:bCs/>
        </w:rPr>
        <w:t xml:space="preserve">5. Attainment Calculation Model</w:t>
      </w:r>
    </w:p>
    <w:p>
      <w:pPr>
        <w:pStyle w:val="Heading2"/>
      </w:pPr>
      <w:r>
        <w:rPr>
          <w:b/>
          <w:bCs/>
        </w:rPr>
        <w:t xml:space="preserve">5.1 CO Attainment from Direct Assessment</w:t>
      </w:r>
    </w:p>
    <w:p>
      <w:pPr>
        <w:spacing w:after="120"/>
      </w:pPr>
      <w:r>
        <w:t xml:space="preserve">Direct assessment uses marks from continuous internal evaluations (CIE) and semester end examinations (SEE). For each CO, the calculator identifies the questions that assess that CO and computes the percentage of students who cleared a predefined target threshold (commonly 50%, 60%, or the class average).</w:t>
      </w:r>
    </w:p>
    <w:p>
      <w:pPr>
        <w:pStyle w:val="ListParagraph"/>
        <w:numPr>
          <w:ilvl w:val="0"/>
          <w:numId w:val="2"/>
        </w:numPr>
      </w:pPr>
      <w:r>
        <w:rPr>
          <w:b/>
          <w:bCs/>
        </w:rPr>
        <w:t xml:space="preserve">Formula: </w:t>
      </w:r>
      <w:r>
        <w:t xml:space="preserve">CO Attainment % = (Number of students scoring ≥ threshold in CO questions / Total students appeared) × 100</w:t>
      </w:r>
    </w:p>
    <w:p>
      <w:pPr>
        <w:spacing w:after="120"/>
      </w:pPr>
      <w:r>
        <w:t xml:space="preserve">A CO attainment level is then assigned based on institutional cut-offs, for example:</w:t>
      </w:r>
    </w:p>
    <w:p>
      <w:pPr>
        <w:pStyle w:val="ListParagraph"/>
        <w:numPr>
          <w:ilvl w:val="0"/>
          <w:numId w:val="2"/>
        </w:numPr>
      </w:pPr>
      <w:r>
        <w:t xml:space="preserve">Level 3: attainment % ≥ 70</w:t>
      </w:r>
    </w:p>
    <w:p>
      <w:pPr>
        <w:pStyle w:val="ListParagraph"/>
        <w:numPr>
          <w:ilvl w:val="0"/>
          <w:numId w:val="2"/>
        </w:numPr>
      </w:pPr>
      <w:r>
        <w:t xml:space="preserve">Level 2: attainment % between 60 and 69</w:t>
      </w:r>
    </w:p>
    <w:p>
      <w:pPr>
        <w:pStyle w:val="ListParagraph"/>
        <w:numPr>
          <w:ilvl w:val="0"/>
          <w:numId w:val="2"/>
        </w:numPr>
      </w:pPr>
      <w:r>
        <w:t xml:space="preserve">Level 1: attainment % between 50 and 59</w:t>
      </w:r>
    </w:p>
    <w:p>
      <w:pPr>
        <w:pStyle w:val="ListParagraph"/>
        <w:numPr>
          <w:ilvl w:val="0"/>
          <w:numId w:val="2"/>
        </w:numPr>
      </w:pPr>
      <w:r>
        <w:t xml:space="preserve">Level 0: attainment % &lt; 50</w:t>
      </w:r>
    </w:p>
    <w:p>
      <w:pPr>
        <w:pStyle w:val="Heading2"/>
      </w:pPr>
      <w:r>
        <w:rPr>
          <w:b/>
          <w:bCs/>
        </w:rPr>
        <w:t xml:space="preserve">5.2 CO Attainment from Indirect Assessment</w:t>
      </w:r>
    </w:p>
    <w:p>
      <w:pPr>
        <w:spacing w:after="120"/>
      </w:pPr>
      <w:r>
        <w:t xml:space="preserve">Indirect assessment uses course-end surveys, exit surveys, and employer feedback where students rate their perceived attainment of each CO on a Likert scale (usually 1-3 or 1-5). The calculator averages these ratings and normalizes them to the same 3-level scale.</w:t>
      </w:r>
    </w:p>
    <w:p>
      <w:pPr>
        <w:pStyle w:val="Heading2"/>
      </w:pPr>
      <w:r>
        <w:rPr>
          <w:b/>
          <w:bCs/>
        </w:rPr>
        <w:t xml:space="preserve">5.3 Overall CO Attainment</w:t>
      </w:r>
    </w:p>
    <w:p>
      <w:pPr>
        <w:spacing w:after="120"/>
      </w:pPr>
      <w:r>
        <w:t xml:space="preserve">The overall CO attainment blends the direct and indirect components using institution-defined weights (typical values: 80% direct, 20% indirect):</w:t>
      </w:r>
    </w:p>
    <w:p>
      <w:pPr>
        <w:pStyle w:val="ListParagraph"/>
        <w:numPr>
          <w:ilvl w:val="0"/>
          <w:numId w:val="2"/>
        </w:numPr>
      </w:pPr>
      <w:r>
        <w:rPr>
          <w:b/>
          <w:bCs/>
        </w:rPr>
        <w:t xml:space="preserve">Formula: </w:t>
      </w:r>
      <w:r>
        <w:t xml:space="preserve">Overall CO = w₁ × Direct CO Attainment + w₂ × Indirect CO Attainment</w:t>
      </w:r>
    </w:p>
    <w:p>
      <w:pPr>
        <w:pStyle w:val="Heading2"/>
      </w:pPr>
      <w:r>
        <w:rPr>
          <w:b/>
          <w:bCs/>
        </w:rPr>
        <w:t xml:space="preserve">5.4 PO / PSO Attainment</w:t>
      </w:r>
    </w:p>
    <w:p>
      <w:pPr>
        <w:spacing w:after="120"/>
      </w:pPr>
      <w:r>
        <w:t xml:space="preserve">Once the overall attainment of each CO is available, the calculator multiplies the CO attainment by the corresponding CO-PO mapping value and normalizes the result over the maximum possible value:</w:t>
      </w:r>
    </w:p>
    <w:p>
      <w:pPr>
        <w:pStyle w:val="ListParagraph"/>
        <w:numPr>
          <w:ilvl w:val="0"/>
          <w:numId w:val="2"/>
        </w:numPr>
      </w:pPr>
      <w:r>
        <w:rPr>
          <w:b/>
          <w:bCs/>
        </w:rPr>
        <w:t xml:space="preserve">Formula: </w:t>
      </w:r>
      <w:r>
        <w:t xml:space="preserve">PO_j Attainment = Σ (CO_i Attainment × Mapping(CO_i, PO_j)) / Σ Mapping(CO_i, PO_j)</w:t>
      </w:r>
    </w:p>
    <w:p>
      <w:pPr>
        <w:spacing w:after="120"/>
      </w:pPr>
      <w:r>
        <w:t xml:space="preserve">The same formula is used for PSO attainment using the CO-PSO mapping matrix.</w:t>
      </w:r>
    </w:p>
    <w:p>
      <w:r>
        <w:br w:type="page"/>
      </w:r>
    </w:p>
    <w:p>
      <w:pPr>
        <w:pStyle w:val="Heading1"/>
      </w:pPr>
      <w:r>
        <w:rPr>
          <w:b/>
          <w:bCs/>
        </w:rPr>
        <w:t xml:space="preserve">6. Inputs to the Calculator</w:t>
      </w:r>
    </w:p>
    <w:p>
      <w:pPr>
        <w:pStyle w:val="ListParagraph"/>
        <w:numPr>
          <w:ilvl w:val="0"/>
          <w:numId w:val="2"/>
        </w:numPr>
      </w:pPr>
      <w:r>
        <w:t xml:space="preserve">List of COs with statements and Bloom's level.</w:t>
      </w:r>
    </w:p>
    <w:p>
      <w:pPr>
        <w:pStyle w:val="ListParagraph"/>
        <w:numPr>
          <w:ilvl w:val="0"/>
          <w:numId w:val="2"/>
        </w:numPr>
      </w:pPr>
      <w:r>
        <w:t xml:space="preserve">List of POs and PSOs applicable to the program.</w:t>
      </w:r>
    </w:p>
    <w:p>
      <w:pPr>
        <w:pStyle w:val="ListParagraph"/>
        <w:numPr>
          <w:ilvl w:val="0"/>
          <w:numId w:val="2"/>
        </w:numPr>
      </w:pPr>
      <w:r>
        <w:t xml:space="preserve">CO-PO and CO-PSO mapping matrices with values 1, 2, or 3.</w:t>
      </w:r>
    </w:p>
    <w:p>
      <w:pPr>
        <w:pStyle w:val="ListParagraph"/>
        <w:numPr>
          <w:ilvl w:val="0"/>
          <w:numId w:val="2"/>
        </w:numPr>
      </w:pPr>
      <w:r>
        <w:t xml:space="preserve">Assessment plan: question-wise CO tagging, maximum marks, and weightage.</w:t>
      </w:r>
    </w:p>
    <w:p>
      <w:pPr>
        <w:pStyle w:val="ListParagraph"/>
        <w:numPr>
          <w:ilvl w:val="0"/>
          <w:numId w:val="2"/>
        </w:numPr>
      </w:pPr>
      <w:r>
        <w:t xml:space="preserve">Student marks for each internal and external assessment.</w:t>
      </w:r>
    </w:p>
    <w:p>
      <w:pPr>
        <w:pStyle w:val="ListParagraph"/>
        <w:numPr>
          <w:ilvl w:val="0"/>
          <w:numId w:val="2"/>
        </w:numPr>
      </w:pPr>
      <w:r>
        <w:t xml:space="preserve">Indirect assessment survey responses.</w:t>
      </w:r>
    </w:p>
    <w:p>
      <w:pPr>
        <w:pStyle w:val="ListParagraph"/>
        <w:numPr>
          <w:ilvl w:val="0"/>
          <w:numId w:val="2"/>
        </w:numPr>
      </w:pPr>
      <w:r>
        <w:t xml:space="preserve">Target attainment percentage and level thresholds set by the department.</w:t>
      </w:r>
    </w:p>
    <w:p>
      <w:pPr>
        <w:pStyle w:val="Heading1"/>
      </w:pPr>
      <w:r>
        <w:rPr>
          <w:b/>
          <w:bCs/>
        </w:rPr>
        <w:t xml:space="preserve">7. Outputs Generated</w:t>
      </w:r>
    </w:p>
    <w:p>
      <w:pPr>
        <w:pStyle w:val="ListParagraph"/>
        <w:numPr>
          <w:ilvl w:val="0"/>
          <w:numId w:val="2"/>
        </w:numPr>
      </w:pPr>
      <w:r>
        <w:t xml:space="preserve">CO-wise attainment percentages (direct, indirect, overall).</w:t>
      </w:r>
    </w:p>
    <w:p>
      <w:pPr>
        <w:pStyle w:val="ListParagraph"/>
        <w:numPr>
          <w:ilvl w:val="0"/>
          <w:numId w:val="2"/>
        </w:numPr>
      </w:pPr>
      <w:r>
        <w:t xml:space="preserve">Attainment levels for each CO on the 0-3 scale.</w:t>
      </w:r>
    </w:p>
    <w:p>
      <w:pPr>
        <w:pStyle w:val="ListParagraph"/>
        <w:numPr>
          <w:ilvl w:val="0"/>
          <w:numId w:val="2"/>
        </w:numPr>
      </w:pPr>
      <w:r>
        <w:t xml:space="preserve">PO-wise and PSO-wise attainment values.</w:t>
      </w:r>
    </w:p>
    <w:p>
      <w:pPr>
        <w:pStyle w:val="ListParagraph"/>
        <w:numPr>
          <w:ilvl w:val="0"/>
          <w:numId w:val="2"/>
        </w:numPr>
      </w:pPr>
      <w:r>
        <w:t xml:space="preserve">Gap analysis: comparison of attained vs targeted values.</w:t>
      </w:r>
    </w:p>
    <w:p>
      <w:pPr>
        <w:pStyle w:val="ListParagraph"/>
        <w:numPr>
          <w:ilvl w:val="0"/>
          <w:numId w:val="2"/>
        </w:numPr>
      </w:pPr>
      <w:r>
        <w:t xml:space="preserve">Graphical dashboards - bar charts, radar charts, and heat maps.</w:t>
      </w:r>
    </w:p>
    <w:p>
      <w:pPr>
        <w:pStyle w:val="ListParagraph"/>
        <w:numPr>
          <w:ilvl w:val="0"/>
          <w:numId w:val="2"/>
        </w:numPr>
      </w:pPr>
      <w:r>
        <w:t xml:space="preserve">Printable NBA-format reports and Excel exports.</w:t>
      </w:r>
    </w:p>
    <w:p>
      <w:pPr>
        <w:pStyle w:val="Heading1"/>
      </w:pPr>
      <w:r>
        <w:rPr>
          <w:b/>
          <w:bCs/>
        </w:rPr>
        <w:t xml:space="preserve">8. Calculation Workflow</w:t>
      </w:r>
    </w:p>
    <w:p>
      <w:pPr>
        <w:spacing w:after="120"/>
      </w:pPr>
      <w:r>
        <w:t xml:space="preserve">The typical end-to-end workflow implemented by the calculator is as follows:</w:t>
      </w:r>
    </w:p>
    <w:p>
      <w:pPr>
        <w:pStyle w:val="ListParagraph"/>
        <w:numPr>
          <w:ilvl w:val="0"/>
          <w:numId w:val="2"/>
        </w:numPr>
      </w:pPr>
      <w:r>
        <w:t xml:space="preserve">Step 1: Define the course, its COs, and mapping matrices.</w:t>
      </w:r>
    </w:p>
    <w:p>
      <w:pPr>
        <w:pStyle w:val="ListParagraph"/>
        <w:numPr>
          <w:ilvl w:val="0"/>
          <w:numId w:val="2"/>
        </w:numPr>
      </w:pPr>
      <w:r>
        <w:t xml:space="preserve">Step 2: Upload the assessment plan tagging each question with a CO.</w:t>
      </w:r>
    </w:p>
    <w:p>
      <w:pPr>
        <w:pStyle w:val="ListParagraph"/>
        <w:numPr>
          <w:ilvl w:val="0"/>
          <w:numId w:val="2"/>
        </w:numPr>
      </w:pPr>
      <w:r>
        <w:t xml:space="preserve">Step 3: Enter or import student marks (CSV / Excel upload supported).</w:t>
      </w:r>
    </w:p>
    <w:p>
      <w:pPr>
        <w:pStyle w:val="ListParagraph"/>
        <w:numPr>
          <w:ilvl w:val="0"/>
          <w:numId w:val="2"/>
        </w:numPr>
      </w:pPr>
      <w:r>
        <w:t xml:space="preserve">Step 4: Enter indirect assessment survey results.</w:t>
      </w:r>
    </w:p>
    <w:p>
      <w:pPr>
        <w:pStyle w:val="ListParagraph"/>
        <w:numPr>
          <w:ilvl w:val="0"/>
          <w:numId w:val="2"/>
        </w:numPr>
      </w:pPr>
      <w:r>
        <w:t xml:space="preserve">Step 5: Configure thresholds and direct/indirect weights.</w:t>
      </w:r>
    </w:p>
    <w:p>
      <w:pPr>
        <w:pStyle w:val="ListParagraph"/>
        <w:numPr>
          <w:ilvl w:val="0"/>
          <w:numId w:val="2"/>
        </w:numPr>
      </w:pPr>
      <w:r>
        <w:t xml:space="preserve">Step 6: Trigger computation - the engine calculates CO, PO, and PSO attainment.</w:t>
      </w:r>
    </w:p>
    <w:p>
      <w:pPr>
        <w:pStyle w:val="ListParagraph"/>
        <w:numPr>
          <w:ilvl w:val="0"/>
          <w:numId w:val="2"/>
        </w:numPr>
      </w:pPr>
      <w:r>
        <w:t xml:space="preserve">Step 7: Review dashboards, download reports, and record corrective actions.</w:t>
      </w:r>
    </w:p>
    <w:p>
      <w:pPr>
        <w:pStyle w:val="Heading1"/>
      </w:pPr>
      <w:r>
        <w:rPr>
          <w:b/>
          <w:bCs/>
        </w:rPr>
        <w:t xml:space="preserve">9. System Architecture</w:t>
      </w:r>
    </w:p>
    <w:p>
      <w:pPr>
        <w:pStyle w:val="Heading2"/>
      </w:pPr>
      <w:r>
        <w:rPr>
          <w:b/>
          <w:bCs/>
        </w:rPr>
        <w:t xml:space="preserve">9.1 Frontend</w:t>
      </w:r>
    </w:p>
    <w:p>
      <w:pPr>
        <w:spacing w:after="120"/>
      </w:pPr>
      <w:r>
        <w:t xml:space="preserve">A responsive web interface built with React and Tailwind CSS providing forms, matrices, upload widgets, and interactive charts.</w:t>
      </w:r>
    </w:p>
    <w:p>
      <w:pPr>
        <w:pStyle w:val="Heading2"/>
      </w:pPr>
      <w:r>
        <w:rPr>
          <w:b/>
          <w:bCs/>
        </w:rPr>
        <w:t xml:space="preserve">9.2 Backend / Compute Engine</w:t>
      </w:r>
    </w:p>
    <w:p>
      <w:pPr>
        <w:spacing w:after="120"/>
      </w:pPr>
      <w:r>
        <w:t xml:space="preserve">A serverless function layer that performs the attainment calculations, validates inputs, and stores results. Uses typed schemas to guarantee data integrity.</w:t>
      </w:r>
    </w:p>
    <w:p>
      <w:pPr>
        <w:pStyle w:val="Heading2"/>
      </w:pPr>
      <w:r>
        <w:rPr>
          <w:b/>
          <w:bCs/>
        </w:rPr>
        <w:t xml:space="preserve">9.3 Database</w:t>
      </w:r>
    </w:p>
    <w:p>
      <w:pPr>
        <w:spacing w:after="120"/>
      </w:pPr>
      <w:r>
        <w:t xml:space="preserve">A relational store containing programs, courses, COs, POs, mappings, assessments, marks, surveys, and computed attainment history. Row-level security ensures each department only sees its own data.</w:t>
      </w:r>
    </w:p>
    <w:p>
      <w:pPr>
        <w:pStyle w:val="Heading2"/>
      </w:pPr>
      <w:r>
        <w:rPr>
          <w:b/>
          <w:bCs/>
        </w:rPr>
        <w:t xml:space="preserve">9.4 Reporting</w:t>
      </w:r>
    </w:p>
    <w:p>
      <w:pPr>
        <w:spacing w:after="120"/>
      </w:pPr>
      <w:r>
        <w:t xml:space="preserve">Server-generated PDF and Excel reports formatted according to NBA / ABET templates.</w:t>
      </w:r>
    </w:p>
    <w:p>
      <w:pPr>
        <w:pStyle w:val="Heading1"/>
      </w:pPr>
      <w:r>
        <w:rPr>
          <w:b/>
          <w:bCs/>
        </w:rPr>
        <w:t xml:space="preserve">10. Worked Example</w:t>
      </w:r>
    </w:p>
    <w:p>
      <w:pPr>
        <w:spacing w:after="120"/>
      </w:pPr>
      <w:r>
        <w:t xml:space="preserve">Consider a course with 5 COs assessed through two internal tests and one end-semester exam. Assume the following direct attainment percentages have been computed: CO1 = 78%, CO2 = 65%, CO3 = 55%, CO4 = 72%, CO5 = 60%.</w:t>
      </w:r>
    </w:p>
    <w:p>
      <w:pPr>
        <w:spacing w:after="120"/>
      </w:pPr>
      <w:r>
        <w:t xml:space="preserve">Using the level cut-offs (≥70 = 3, 60-69 = 2, 50-59 = 1), the direct CO attainment levels become: CO1 = 3, CO2 = 2, CO3 = 1, CO4 = 3, CO5 = 2.</w:t>
      </w:r>
    </w:p>
    <w:p>
      <w:pPr>
        <w:spacing w:after="120"/>
      </w:pPr>
      <w:r>
        <w:t xml:space="preserve">Assume the indirect (survey) attainment for the same COs is: CO1 = 3, CO2 = 3, CO3 = 2, CO4 = 2, CO5 = 3.</w:t>
      </w:r>
    </w:p>
    <w:p>
      <w:pPr>
        <w:spacing w:after="120"/>
      </w:pPr>
      <w:r>
        <w:t xml:space="preserve">Applying weights (0.8 direct + 0.2 indirect), the overall CO attainment is: CO1 = 3.0, CO2 = 2.2, CO3 = 1.2, CO4 = 2.8, CO5 = 2.2.</w:t>
      </w:r>
    </w:p>
    <w:p>
      <w:pPr>
        <w:spacing w:after="120"/>
      </w:pPr>
      <w:r>
        <w:t xml:space="preserve">Using the sample CO-PO mapping matrix shown earlier, PO1 attainment is computed as:</w:t>
      </w:r>
    </w:p>
    <w:p>
      <w:pPr>
        <w:spacing w:after="120"/>
      </w:pPr>
      <w:r>
        <w:t xml:space="preserve">PO1 = (3.0×3 + 2.2×2 + 1.2×3 + 2.8×2 + 2.2×3) / (3+2+3+2+3) = 32.6 / 13 = 2.51</w:t>
      </w:r>
    </w:p>
    <w:p>
      <w:pPr>
        <w:spacing w:after="120"/>
      </w:pPr>
      <w:r>
        <w:t xml:space="preserve">The result 2.51 indicates a strong attainment of PO1, above the typical institutional target of 2.0.</w:t>
      </w:r>
    </w:p>
    <w:p>
      <w:pPr>
        <w:pStyle w:val="Heading1"/>
      </w:pPr>
      <w:r>
        <w:rPr>
          <w:b/>
          <w:bCs/>
        </w:rPr>
        <w:t xml:space="preserve">11. Benefits</w:t>
      </w:r>
    </w:p>
    <w:p>
      <w:pPr>
        <w:pStyle w:val="ListParagraph"/>
        <w:numPr>
          <w:ilvl w:val="0"/>
          <w:numId w:val="2"/>
        </w:numPr>
      </w:pPr>
      <w:r>
        <w:t xml:space="preserve">Accuracy: eliminates manual spreadsheet errors and inconsistent formulas.</w:t>
      </w:r>
    </w:p>
    <w:p>
      <w:pPr>
        <w:pStyle w:val="ListParagraph"/>
        <w:numPr>
          <w:ilvl w:val="0"/>
          <w:numId w:val="2"/>
        </w:numPr>
      </w:pPr>
      <w:r>
        <w:t xml:space="preserve">Speed: complete attainment analysis in minutes instead of days.</w:t>
      </w:r>
    </w:p>
    <w:p>
      <w:pPr>
        <w:pStyle w:val="ListParagraph"/>
        <w:numPr>
          <w:ilvl w:val="0"/>
          <w:numId w:val="2"/>
        </w:numPr>
      </w:pPr>
      <w:r>
        <w:t xml:space="preserve">Transparency: every computed value is traceable back to raw marks.</w:t>
      </w:r>
    </w:p>
    <w:p>
      <w:pPr>
        <w:pStyle w:val="ListParagraph"/>
        <w:numPr>
          <w:ilvl w:val="0"/>
          <w:numId w:val="2"/>
        </w:numPr>
      </w:pPr>
      <w:r>
        <w:t xml:space="preserve">Accreditation-ready: outputs conform to NBA and ABET reporting formats.</w:t>
      </w:r>
    </w:p>
    <w:p>
      <w:pPr>
        <w:pStyle w:val="ListParagraph"/>
        <w:numPr>
          <w:ilvl w:val="0"/>
          <w:numId w:val="2"/>
        </w:numPr>
      </w:pPr>
      <w:r>
        <w:t xml:space="preserve">Continuous improvement: gap analysis drives corrective actions for the next offering.</w:t>
      </w:r>
    </w:p>
    <w:p>
      <w:pPr>
        <w:pStyle w:val="ListParagraph"/>
        <w:numPr>
          <w:ilvl w:val="0"/>
          <w:numId w:val="2"/>
        </w:numPr>
      </w:pPr>
      <w:r>
        <w:t xml:space="preserve">Central repository: historical attainment trends across semesters and batches.</w:t>
      </w:r>
    </w:p>
    <w:p>
      <w:pPr>
        <w:pStyle w:val="Heading1"/>
      </w:pPr>
      <w:r>
        <w:rPr>
          <w:b/>
          <w:bCs/>
        </w:rPr>
        <w:t xml:space="preserve">12. Limitations and Considerations</w:t>
      </w:r>
    </w:p>
    <w:p>
      <w:pPr>
        <w:pStyle w:val="ListParagraph"/>
        <w:numPr>
          <w:ilvl w:val="0"/>
          <w:numId w:val="2"/>
        </w:numPr>
      </w:pPr>
      <w:r>
        <w:t xml:space="preserve">Quality of results depends on the correctness of the CO-PO mapping matrix.</w:t>
      </w:r>
    </w:p>
    <w:p>
      <w:pPr>
        <w:pStyle w:val="ListParagraph"/>
        <w:numPr>
          <w:ilvl w:val="0"/>
          <w:numId w:val="2"/>
        </w:numPr>
      </w:pPr>
      <w:r>
        <w:t xml:space="preserve">Question-CO tagging must be reviewed by subject experts.</w:t>
      </w:r>
    </w:p>
    <w:p>
      <w:pPr>
        <w:pStyle w:val="ListParagraph"/>
        <w:numPr>
          <w:ilvl w:val="0"/>
          <w:numId w:val="2"/>
        </w:numPr>
      </w:pPr>
      <w:r>
        <w:t xml:space="preserve">Indirect survey responses can be subjective and should be validated.</w:t>
      </w:r>
    </w:p>
    <w:p>
      <w:pPr>
        <w:pStyle w:val="ListParagraph"/>
        <w:numPr>
          <w:ilvl w:val="0"/>
          <w:numId w:val="2"/>
        </w:numPr>
      </w:pPr>
      <w:r>
        <w:t xml:space="preserve">Threshold values must be justified in the department's OBE policy document.</w:t>
      </w:r>
    </w:p>
    <w:p>
      <w:pPr>
        <w:pStyle w:val="Heading1"/>
      </w:pPr>
      <w:r>
        <w:rPr>
          <w:b/>
          <w:bCs/>
        </w:rPr>
        <w:t xml:space="preserve">13. Conclusion</w:t>
      </w:r>
    </w:p>
    <w:p>
      <w:pPr>
        <w:spacing w:after="120"/>
      </w:pPr>
      <w:r>
        <w:t xml:space="preserve">The PO, CO to OBE Calculator provides a rigorous, automated, and auditable mechanism to translate raw student performance data into meaningful outcome attainment values. By standardizing the calculation model and generating accreditation-ready reports, it enables institutions to focus on the pedagogical improvements that OBE is ultimately designed to achieve - producing graduates whose competencies match the outcomes promised by the program.</w:t>
      </w:r>
    </w:p>
    <w:p>
      <w:pPr>
        <w:pStyle w:val="Heading1"/>
      </w:pPr>
      <w:r>
        <w:rPr>
          <w:b/>
          <w:bCs/>
        </w:rPr>
        <w:t xml:space="preserve">14. Glossary</w:t>
      </w:r>
    </w:p>
    <w:p>
      <w:pPr>
        <w:pStyle w:val="ListParagraph"/>
        <w:numPr>
          <w:ilvl w:val="0"/>
          <w:numId w:val="2"/>
        </w:numPr>
      </w:pPr>
      <w:r>
        <w:rPr>
          <w:b/>
          <w:bCs/>
        </w:rPr>
        <w:t xml:space="preserve">OBE: </w:t>
      </w:r>
      <w:r>
        <w:t xml:space="preserve">Outcome-Based Education.</w:t>
      </w:r>
    </w:p>
    <w:p>
      <w:pPr>
        <w:pStyle w:val="ListParagraph"/>
        <w:numPr>
          <w:ilvl w:val="0"/>
          <w:numId w:val="2"/>
        </w:numPr>
      </w:pPr>
      <w:r>
        <w:rPr>
          <w:b/>
          <w:bCs/>
        </w:rPr>
        <w:t xml:space="preserve">PO: </w:t>
      </w:r>
      <w:r>
        <w:t xml:space="preserve">Program Outcome - broad graduate attribute.</w:t>
      </w:r>
    </w:p>
    <w:p>
      <w:pPr>
        <w:pStyle w:val="ListParagraph"/>
        <w:numPr>
          <w:ilvl w:val="0"/>
          <w:numId w:val="2"/>
        </w:numPr>
      </w:pPr>
      <w:r>
        <w:rPr>
          <w:b/>
          <w:bCs/>
        </w:rPr>
        <w:t xml:space="preserve">PSO: </w:t>
      </w:r>
      <w:r>
        <w:t xml:space="preserve">Program Specific Outcome - discipline-specific attribute.</w:t>
      </w:r>
    </w:p>
    <w:p>
      <w:pPr>
        <w:pStyle w:val="ListParagraph"/>
        <w:numPr>
          <w:ilvl w:val="0"/>
          <w:numId w:val="2"/>
        </w:numPr>
      </w:pPr>
      <w:r>
        <w:rPr>
          <w:b/>
          <w:bCs/>
        </w:rPr>
        <w:t xml:space="preserve">CO: </w:t>
      </w:r>
      <w:r>
        <w:t xml:space="preserve">Course Outcome - measurable outcome of a single course.</w:t>
      </w:r>
    </w:p>
    <w:p>
      <w:pPr>
        <w:pStyle w:val="ListParagraph"/>
        <w:numPr>
          <w:ilvl w:val="0"/>
          <w:numId w:val="2"/>
        </w:numPr>
      </w:pPr>
      <w:r>
        <w:rPr>
          <w:b/>
          <w:bCs/>
        </w:rPr>
        <w:t xml:space="preserve">CIE: </w:t>
      </w:r>
      <w:r>
        <w:t xml:space="preserve">Continuous Internal Evaluation.</w:t>
      </w:r>
    </w:p>
    <w:p>
      <w:pPr>
        <w:pStyle w:val="ListParagraph"/>
        <w:numPr>
          <w:ilvl w:val="0"/>
          <w:numId w:val="2"/>
        </w:numPr>
      </w:pPr>
      <w:r>
        <w:rPr>
          <w:b/>
          <w:bCs/>
        </w:rPr>
        <w:t xml:space="preserve">SEE: </w:t>
      </w:r>
      <w:r>
        <w:t xml:space="preserve">Semester End Examination.</w:t>
      </w:r>
    </w:p>
    <w:p>
      <w:pPr>
        <w:pStyle w:val="ListParagraph"/>
        <w:numPr>
          <w:ilvl w:val="0"/>
          <w:numId w:val="2"/>
        </w:numPr>
      </w:pPr>
      <w:r>
        <w:rPr>
          <w:b/>
          <w:bCs/>
        </w:rPr>
        <w:t xml:space="preserve">NBA: </w:t>
      </w:r>
      <w:r>
        <w:t xml:space="preserve">National Board of Accreditation (India).</w:t>
      </w:r>
    </w:p>
    <w:p>
      <w:pPr>
        <w:pStyle w:val="ListParagraph"/>
        <w:numPr>
          <w:ilvl w:val="0"/>
          <w:numId w:val="2"/>
        </w:numPr>
      </w:pPr>
      <w:r>
        <w:rPr>
          <w:b/>
          <w:bCs/>
        </w:rPr>
        <w:t xml:space="preserve">ABET: </w:t>
      </w:r>
      <w:r>
        <w:t xml:space="preserve">Accreditation Board for Engineering and Technology (USA).</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t xml:space="preserve">Page </w:t>
    </w: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888888"/>
        <w:sz w:val="18"/>
        <w:szCs w:val="18"/>
      </w:rPr>
      <w:t xml:space="preserve">PO / CO to OBE Calculator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Calibri" w:cs="Calibri" w:eastAsia="Calibri" w:hAnsi="Calibri"/>
      <w:b/>
      <w:bCs/>
      <w:color w:val="1F4E79"/>
      <w:sz w:val="32"/>
      <w:szCs w:val="32"/>
    </w:rPr>
  </w:style>
  <w:style w:type="paragraph" w:styleId="Heading2">
    <w:name w:val="Heading 2"/>
    <w:basedOn w:val="Normal"/>
    <w:next w:val="Normal"/>
    <w:qFormat/>
    <w:pPr>
      <w:spacing w:after="120" w:before="220"/>
      <w:outlineLvl w:val="1"/>
    </w:pPr>
    <w:rPr>
      <w:rFonts w:ascii="Calibri" w:cs="Calibri" w:eastAsia="Calibri" w:hAnsi="Calibri"/>
      <w:b/>
      <w:bCs/>
      <w:color w:val="2E75B6"/>
      <w:sz w:val="26"/>
      <w:szCs w:val="26"/>
    </w:rPr>
  </w:style>
  <w:style w:type="paragraph" w:styleId="Heading3">
    <w:name w:val="Heading 3"/>
    <w:basedOn w:val="Normal"/>
    <w:next w:val="Normal"/>
    <w:qFormat/>
    <w:pPr>
      <w:spacing w:after="80" w:before="160"/>
      <w:outlineLvl w:val="2"/>
    </w:pPr>
    <w:rPr>
      <w:rFonts w:ascii="Calibri" w:cs="Calibri" w:eastAsia="Calibri" w:hAnsi="Calibri"/>
      <w:b/>
      <w:bCs/>
      <w:color w:val="333333"/>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 CO to OBE Calculator - Detailed Report</dc:title>
  <dc:creator>Claude</dc:creator>
  <cp:lastModifiedBy>Un-named</cp:lastModifiedBy>
  <cp:revision>1</cp:revision>
  <dcterms:created xsi:type="dcterms:W3CDTF">2026-07-05T02:17:01.783Z</dcterms:created>
  <dcterms:modified xsi:type="dcterms:W3CDTF">2026-07-05T02:17:01.783Z</dcterms:modified>
</cp:coreProperties>
</file>

<file path=docProps/custom.xml><?xml version="1.0" encoding="utf-8"?>
<Properties xmlns="http://schemas.openxmlformats.org/officeDocument/2006/custom-properties" xmlns:vt="http://schemas.openxmlformats.org/officeDocument/2006/docPropsVTypes"/>
</file>