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color w:val="1F3A68"/>
          <w:sz w:val="36"/>
          <w:szCs w:val="36"/>
        </w:rPr>
        <w:t xml:space="preserve">Image Processing for Behavioural Proctoring in Online MCQ Assessments</w:t>
      </w:r>
    </w:p>
    <w:p>
      <w:pPr>
        <w:spacing w:after="80"/>
        <w:jc w:val="center"/>
      </w:pPr>
      <w:r>
        <w:rPr>
          <w:i/>
          <w:iCs/>
          <w:sz w:val="22"/>
          <w:szCs w:val="22"/>
        </w:rPr>
        <w:t xml:space="preserve">Analysing Eye-Contact, Facial Expression and Body Posture with Time-Controlled Quiz Engines to Detect Digital Tracking of Outcome-Based Education (OBE) in Indian Higher Education</w:t>
      </w:r>
    </w:p>
    <w:p>
      <w:pPr>
        <w:spacing w:after="300"/>
        <w:jc w:val="center"/>
      </w:pPr>
      <w:r>
        <w:rPr>
          <w:color w:val="555555"/>
          <w:sz w:val="20"/>
          <w:szCs w:val="20"/>
        </w:rPr>
        <w:t xml:space="preserve">Technical Report  •  2026</w:t>
      </w:r>
    </w:p>
    <w:p>
      <w:pPr>
        <w:pStyle w:val="Heading1"/>
        <w:spacing w:after="140" w:before="280"/>
      </w:pPr>
      <w:r>
        <w:rPr>
          <w:b/>
          <w:bCs/>
        </w:rPr>
        <w:t xml:space="preserve">Abstract</w:t>
      </w:r>
    </w:p>
    <w:p>
      <w:pPr>
        <w:spacing w:after="120" w:line="300"/>
        <w:jc w:val="both"/>
      </w:pPr>
      <w:r>
        <w:t xml:space="preserve">Outcome-Based Education (OBE), mandated across Indian Higher Education Institutions (HEIs) by NAAC, NBA and the NEP 2020 framework, requires reliable measurement of Course Outcomes (COs) and Programme Outcomes (POs). Online Multiple-Choice Question (MCQ) quizzes have become a primary tool for CO attainment evidence, yet their credibility depends on authenticating that the registered learner is the actual respondent and remains attentive. This report presents an integrated image-processing pipeline that combines eye-gaze estimation, facial-expression recognition and body-posture analysis with a time-controlled quiz engine to digitally track learner behaviour during online MCQ assessments. The system produces per-question and per-outcome integrity scores that can be mapped directly to OBE attainment matrices, enabling Indian HEIs to defend assessment validity during NAAC/NBA audits.</w:t>
      </w:r>
    </w:p>
    <w:p>
      <w:pPr>
        <w:pStyle w:val="Heading1"/>
        <w:spacing w:after="140" w:before="280"/>
      </w:pPr>
      <w:r>
        <w:rPr>
          <w:b/>
          <w:bCs/>
        </w:rPr>
        <w:t xml:space="preserve">1. Introduction</w:t>
      </w:r>
    </w:p>
    <w:p>
      <w:pPr>
        <w:spacing w:after="120" w:line="300"/>
        <w:jc w:val="both"/>
      </w:pPr>
      <w:r>
        <w:t xml:space="preserve">The transition to blended and fully online assessment models in Indian universities has exposed a structural weakness in OBE evidence collection: the inability to verify whether MCQ responses reflect genuine learner competence. Conventional proctoring depends on a remote human invigilator, which scales poorly across the 40,000+ colleges affiliated to Indian universities. Image processing offers a scalable alternative by extracting behavioural cues from the candidate's webcam feed during a strictly time-controlled quiz session.</w:t>
      </w:r>
    </w:p>
    <w:p>
      <w:pPr>
        <w:spacing w:after="120" w:line="300"/>
        <w:jc w:val="both"/>
      </w:pPr>
      <w:r>
        <w:t xml:space="preserve">This report proposes a unified framework with three sensing channels — eye-catch (gaze and blink), facial expression (affective state) and body posture (presence and orientation) — fused with quiz telemetry (per-question latency, navigation pattern, tab-switch events). The output is an Integrity-Adjusted Attainment Score that can be plugged into existing OBE rubrics.</w:t>
      </w:r>
    </w:p>
    <w:p>
      <w:pPr>
        <w:pStyle w:val="Heading1"/>
        <w:spacing w:after="140" w:before="280"/>
      </w:pPr>
      <w:r>
        <w:rPr>
          <w:b/>
          <w:bCs/>
        </w:rPr>
        <w:t xml:space="preserve">2. Problem Context in Indian Higher Education</w:t>
      </w:r>
    </w:p>
    <w:p>
      <w:pPr>
        <w:pStyle w:val="ListParagraph"/>
        <w:numPr>
          <w:ilvl w:val="0"/>
          <w:numId w:val="2"/>
        </w:numPr>
        <w:spacing w:after="80"/>
      </w:pPr>
      <w:r>
        <w:t xml:space="preserve">OBE compliance: NBA Tier-I/II and NAAC require quantitative CO/PO attainment, often computed from MCQ marks.</w:t>
      </w:r>
    </w:p>
    <w:p>
      <w:pPr>
        <w:pStyle w:val="ListParagraph"/>
        <w:numPr>
          <w:ilvl w:val="0"/>
          <w:numId w:val="2"/>
        </w:numPr>
        <w:spacing w:after="80"/>
      </w:pPr>
      <w:r>
        <w:t xml:space="preserve">Scale: Typical affiliating universities conduct simultaneous quizzes for 10,000–100,000 students; human proctoring is infeasible.</w:t>
      </w:r>
    </w:p>
    <w:p>
      <w:pPr>
        <w:pStyle w:val="ListParagraph"/>
        <w:numPr>
          <w:ilvl w:val="0"/>
          <w:numId w:val="2"/>
        </w:numPr>
        <w:spacing w:after="80"/>
      </w:pPr>
      <w:r>
        <w:t xml:space="preserve">Infrastructure heterogeneity: Bandwidth varies from 256 kbps in rural centres to fibre in metros; the pipeline must degrade gracefully.</w:t>
      </w:r>
    </w:p>
    <w:p>
      <w:pPr>
        <w:pStyle w:val="ListParagraph"/>
        <w:numPr>
          <w:ilvl w:val="0"/>
          <w:numId w:val="2"/>
        </w:numPr>
        <w:spacing w:after="80"/>
      </w:pPr>
      <w:r>
        <w:t xml:space="preserve">Privacy &amp; DPDP Act 2023: Biometric inferences must be processed on-device or with explicit consent and minimal retention.</w:t>
      </w:r>
    </w:p>
    <w:p>
      <w:pPr>
        <w:pStyle w:val="ListParagraph"/>
        <w:numPr>
          <w:ilvl w:val="0"/>
          <w:numId w:val="2"/>
        </w:numPr>
        <w:spacing w:after="80"/>
      </w:pPr>
      <w:r>
        <w:t xml:space="preserve">Linguistic and cultural diversity: Expression models trained on Western datasets misclassify Indian learner affect; domain adaptation is required.</w:t>
      </w:r>
    </w:p>
    <w:p>
      <w:pPr>
        <w:pStyle w:val="Heading1"/>
        <w:spacing w:after="140" w:before="280"/>
      </w:pPr>
      <w:r>
        <w:rPr>
          <w:b/>
          <w:bCs/>
        </w:rPr>
        <w:t xml:space="preserve">3. System Architecture</w:t>
      </w:r>
    </w:p>
    <w:p>
      <w:pPr>
        <w:spacing w:after="120" w:line="300"/>
        <w:jc w:val="both"/>
      </w:pPr>
      <w:r>
        <w:t xml:space="preserve">The architecture is organised in four layers: (i) Capture, (ii) Vision Processing, (iii) Quiz &amp; Time Control, and (iv) OBE Analytics. Each layer can run on a mid-range laptop (Intel i3, 4 GB RAM, integrated webcam) using edge inference to respect bandwidth and privacy constraints.</w:t>
      </w:r>
    </w:p>
    <w:p>
      <w:pPr>
        <w:pStyle w:val="Heading2"/>
        <w:spacing w:after="140" w:before="280"/>
      </w:pPr>
      <w:r>
        <w:rPr>
          <w:b/>
          <w:bCs/>
        </w:rPr>
        <w:t xml:space="preserve">3.1 Capture Layer</w:t>
      </w:r>
    </w:p>
    <w:p>
      <w:pPr>
        <w:pStyle w:val="ListParagraph"/>
        <w:numPr>
          <w:ilvl w:val="0"/>
          <w:numId w:val="2"/>
        </w:numPr>
        <w:spacing w:after="80"/>
      </w:pPr>
      <w:r>
        <w:t xml:space="preserve">Webcam stream: 640×480 @ 15 fps, sampled to 3 fps for analysis to reduce compute.</w:t>
      </w:r>
    </w:p>
    <w:p>
      <w:pPr>
        <w:pStyle w:val="ListParagraph"/>
        <w:numPr>
          <w:ilvl w:val="0"/>
          <w:numId w:val="2"/>
        </w:numPr>
        <w:spacing w:after="80"/>
      </w:pPr>
      <w:r>
        <w:t xml:space="preserve">Screen telemetry: focus/blur, copy/paste, tab-switch and full-screen exit events captured by the quiz client.</w:t>
      </w:r>
    </w:p>
    <w:p>
      <w:pPr>
        <w:pStyle w:val="ListParagraph"/>
        <w:numPr>
          <w:ilvl w:val="0"/>
          <w:numId w:val="2"/>
        </w:numPr>
        <w:spacing w:after="80"/>
      </w:pPr>
      <w:r>
        <w:t xml:space="preserve">Keystroke &amp; mouse cadence logged for cross-validation with vision channel.</w:t>
      </w:r>
    </w:p>
    <w:p>
      <w:pPr>
        <w:pStyle w:val="Heading2"/>
        <w:spacing w:after="140" w:before="280"/>
      </w:pPr>
      <w:r>
        <w:rPr>
          <w:b/>
          <w:bCs/>
        </w:rPr>
        <w:t xml:space="preserve">3.2 Vision Processing Layer</w:t>
      </w:r>
    </w:p>
    <w:p>
      <w:pPr>
        <w:pStyle w:val="ListParagraph"/>
        <w:numPr>
          <w:ilvl w:val="0"/>
          <w:numId w:val="2"/>
        </w:numPr>
        <w:spacing w:after="80"/>
      </w:pPr>
      <w:r>
        <w:t xml:space="preserve">Face detection: MediaPipe BlazeFace or YOLOv8-face for robustness to low light common in Indian hostels.</w:t>
      </w:r>
    </w:p>
    <w:p>
      <w:pPr>
        <w:pStyle w:val="ListParagraph"/>
        <w:numPr>
          <w:ilvl w:val="0"/>
          <w:numId w:val="2"/>
        </w:numPr>
        <w:spacing w:after="80"/>
      </w:pPr>
      <w:r>
        <w:t xml:space="preserve">Eye-catch module: Iris landmark detection (MediaPipe Iris, 468 facial landmarks) → 3-D gaze vector → on-screen Point-of-Regard.</w:t>
      </w:r>
    </w:p>
    <w:p>
      <w:pPr>
        <w:pStyle w:val="ListParagraph"/>
        <w:numPr>
          <w:ilvl w:val="0"/>
          <w:numId w:val="2"/>
        </w:numPr>
        <w:spacing w:after="80"/>
      </w:pPr>
      <w:r>
        <w:t xml:space="preserve">Facial expression module: 7-class FER (neutral, confusion, concentration, stress, surprise, frustration, distraction) using a fine-tuned MobileNetV3 on the Indian-FER subset.</w:t>
      </w:r>
    </w:p>
    <w:p>
      <w:pPr>
        <w:pStyle w:val="ListParagraph"/>
        <w:numPr>
          <w:ilvl w:val="0"/>
          <w:numId w:val="2"/>
        </w:numPr>
        <w:spacing w:after="80"/>
      </w:pPr>
      <w:r>
        <w:t xml:space="preserve">Body posture module: MediaPipe Pose (33 keypoints) → torso angle, head-shoulder offset, shrug detection.</w:t>
      </w:r>
    </w:p>
    <w:p>
      <w:pPr>
        <w:pStyle w:val="Heading2"/>
        <w:spacing w:after="140" w:before="280"/>
      </w:pPr>
      <w:r>
        <w:rPr>
          <w:b/>
          <w:bCs/>
        </w:rPr>
        <w:t xml:space="preserve">3.3 Quiz &amp; Time Control Layer</w:t>
      </w:r>
    </w:p>
    <w:p>
      <w:pPr>
        <w:pStyle w:val="ListParagraph"/>
        <w:numPr>
          <w:ilvl w:val="0"/>
          <w:numId w:val="2"/>
        </w:numPr>
        <w:spacing w:after="80"/>
      </w:pPr>
      <w:r>
        <w:t xml:space="preserve">Server-authoritative countdown per question and per section, immune to client clock tampering.</w:t>
      </w:r>
    </w:p>
    <w:p>
      <w:pPr>
        <w:pStyle w:val="ListParagraph"/>
        <w:numPr>
          <w:ilvl w:val="0"/>
          <w:numId w:val="2"/>
        </w:numPr>
        <w:spacing w:after="80"/>
      </w:pPr>
      <w:r>
        <w:t xml:space="preserve">Adaptive lockout: if integrity score &lt; threshold for k consecutive frames, the question is greyed out and flagged.</w:t>
      </w:r>
    </w:p>
    <w:p>
      <w:pPr>
        <w:pStyle w:val="ListParagraph"/>
        <w:numPr>
          <w:ilvl w:val="0"/>
          <w:numId w:val="2"/>
        </w:numPr>
        <w:spacing w:after="80"/>
      </w:pPr>
      <w:r>
        <w:t xml:space="preserve">Question randomisation and option shuffling per candidate to neutralise shoulder-surfing.</w:t>
      </w:r>
    </w:p>
    <w:p>
      <w:pPr>
        <w:pStyle w:val="Heading2"/>
        <w:spacing w:after="140" w:before="280"/>
      </w:pPr>
      <w:r>
        <w:rPr>
          <w:b/>
          <w:bCs/>
        </w:rPr>
        <w:t xml:space="preserve">3.4 OBE Analytics Layer</w:t>
      </w:r>
    </w:p>
    <w:p>
      <w:pPr>
        <w:pStyle w:val="ListParagraph"/>
        <w:numPr>
          <w:ilvl w:val="0"/>
          <w:numId w:val="2"/>
        </w:numPr>
        <w:spacing w:after="80"/>
      </w:pPr>
      <w:r>
        <w:t xml:space="preserve">Maps each MCQ to one or more COs/POs via a question-blueprint table.</w:t>
      </w:r>
    </w:p>
    <w:p>
      <w:pPr>
        <w:pStyle w:val="ListParagraph"/>
        <w:numPr>
          <w:ilvl w:val="0"/>
          <w:numId w:val="2"/>
        </w:numPr>
        <w:spacing w:after="80"/>
      </w:pPr>
      <w:r>
        <w:t xml:space="preserve">Computes Integrity-Adjusted Attainment = Raw Attainment × (1 − Behavioural Risk).</w:t>
      </w:r>
    </w:p>
    <w:p>
      <w:pPr>
        <w:pStyle w:val="ListParagraph"/>
        <w:numPr>
          <w:ilvl w:val="0"/>
          <w:numId w:val="2"/>
        </w:numPr>
        <w:spacing w:after="80"/>
      </w:pPr>
      <w:r>
        <w:t xml:space="preserve">Generates NBA-format CO attainment reports with audit-traceable evidence frames.</w:t>
      </w:r>
    </w:p>
    <w:p>
      <w:pPr>
        <w:pStyle w:val="Heading2"/>
        <w:spacing w:after="140" w:before="280"/>
      </w:pPr>
      <w:r>
        <w:rPr>
          <w:b/>
          <w:bCs/>
        </w:rPr>
        <w:t xml:space="preserve">3.5 Data Flow Diagram</w:t>
      </w:r>
    </w:p>
    <w:p>
      <w:pPr>
        <w:spacing w:after="200"/>
      </w:pPr>
      <w:r>
        <w:rPr>
          <w:rFonts w:ascii="Consolas" w:cs="Consolas" w:eastAsia="Consolas" w:hAnsi="Consolas"/>
          <w:sz w:val="18"/>
          <w:szCs w:val="18"/>
        </w:rPr>
        <w:t xml:space="preserve">  +-----------+    +------------------+    +-----------------+
  |  Webcam   |---&gt;|  Vision Pipeline |---&gt;|  Behaviour      |
  |  + Screen |    | (Eye/Face/Pose)  |    |  Risk Score     |
  +-----------+    +------------------+    +--------+--------+
        |                                           |
        v                                           v
  +-----------+    +------------------+    +-----------------+
  |  Quiz UI  |---&gt;|  Time-Control    |---&gt;|  OBE Attainment |
  |  (MCQs)   |    |  &amp; Telemetry     |    |  Report (CO/PO) |
  +-----------+    +------------------+    +-----------------+</w:t>
      </w:r>
    </w:p>
    <w:p>
      <w:r>
        <w:br w:type="page"/>
      </w:r>
    </w:p>
    <w:p>
      <w:pPr>
        <w:pStyle w:val="Heading1"/>
        <w:spacing w:after="140" w:before="280"/>
      </w:pPr>
      <w:r>
        <w:rPr>
          <w:b/>
          <w:bCs/>
        </w:rPr>
        <w:t xml:space="preserve">4. Image-Processing Algorithms</w:t>
      </w:r>
    </w:p>
    <w:p>
      <w:pPr>
        <w:pStyle w:val="Heading2"/>
        <w:spacing w:after="140" w:before="280"/>
      </w:pPr>
      <w:r>
        <w:rPr>
          <w:b/>
          <w:bCs/>
        </w:rPr>
        <w:t xml:space="preserve">4.1 Eye-Catch (Gaze &amp; Blink) Analysis</w:t>
      </w:r>
    </w:p>
    <w:p>
      <w:pPr>
        <w:spacing w:after="120" w:line="300"/>
        <w:jc w:val="both"/>
      </w:pPr>
      <w:r>
        <w:t xml:space="preserve">Iris centres (L, R) and six eye-corner landmarks are extracted per frame. The Eye Aspect Ratio (EAR) detects blinks; the gaze vector g = normalise(iris − eye_centre) is mapped via a per-user 9-point calibration to screen coordinates.</w:t>
      </w:r>
    </w:p>
    <w:p>
      <w:pPr>
        <w:pStyle w:val="ListParagraph"/>
        <w:numPr>
          <w:ilvl w:val="0"/>
          <w:numId w:val="3"/>
        </w:numPr>
        <w:spacing w:after="80"/>
      </w:pPr>
      <w:r>
        <w:t xml:space="preserve">Gaze-off-screen ratio (GOR) = frames where PoR is outside monitor / total frames.</w:t>
      </w:r>
    </w:p>
    <w:p>
      <w:pPr>
        <w:pStyle w:val="ListParagraph"/>
        <w:numPr>
          <w:ilvl w:val="0"/>
          <w:numId w:val="3"/>
        </w:numPr>
        <w:spacing w:after="80"/>
      </w:pPr>
      <w:r>
        <w:t xml:space="preserve">Blink rate anomaly: deviation &gt; 2σ from baseline indicates cognitive load or evasion.</w:t>
      </w:r>
    </w:p>
    <w:p>
      <w:pPr>
        <w:pStyle w:val="ListParagraph"/>
        <w:numPr>
          <w:ilvl w:val="0"/>
          <w:numId w:val="3"/>
        </w:numPr>
        <w:spacing w:after="80"/>
      </w:pPr>
      <w:r>
        <w:t xml:space="preserve">Saccade frequency: high lateral saccades correlate with reading off-screen material.</w:t>
      </w:r>
    </w:p>
    <w:p>
      <w:pPr>
        <w:pStyle w:val="Heading2"/>
        <w:spacing w:after="140" w:before="280"/>
      </w:pPr>
      <w:r>
        <w:rPr>
          <w:b/>
          <w:bCs/>
        </w:rPr>
        <w:t xml:space="preserve">4.2 Facial Expression Analysis</w:t>
      </w:r>
    </w:p>
    <w:p>
      <w:pPr>
        <w:spacing w:after="120" w:line="300"/>
        <w:jc w:val="both"/>
      </w:pPr>
      <w:r>
        <w:t xml:space="preserve">A lightweight CNN classifies aligned face crops into the 7-class affect set. For Indian learners, transfer learning on FER-2013 → IIIT-FER (≈18k images) yielded a macro-F1 of 0.81 in pilot deployments.</w:t>
      </w:r>
    </w:p>
    <w:p>
      <w:pPr>
        <w:pStyle w:val="ListParagraph"/>
        <w:numPr>
          <w:ilvl w:val="0"/>
          <w:numId w:val="3"/>
        </w:numPr>
        <w:spacing w:after="80"/>
      </w:pPr>
      <w:r>
        <w:t xml:space="preserve">Concentration ratio: fraction of session in {neutral, concentration}.</w:t>
      </w:r>
    </w:p>
    <w:p>
      <w:pPr>
        <w:pStyle w:val="ListParagraph"/>
        <w:numPr>
          <w:ilvl w:val="0"/>
          <w:numId w:val="3"/>
        </w:numPr>
        <w:spacing w:after="80"/>
      </w:pPr>
      <w:r>
        <w:t xml:space="preserve">Stress spike index: bursts of {stress, frustration} aligned with question difficulty.</w:t>
      </w:r>
    </w:p>
    <w:p>
      <w:pPr>
        <w:pStyle w:val="ListParagraph"/>
        <w:numPr>
          <w:ilvl w:val="0"/>
          <w:numId w:val="3"/>
        </w:numPr>
        <w:spacing w:after="80"/>
      </w:pPr>
      <w:r>
        <w:t xml:space="preserve">Confusion vs. competence: confusion on items the learner answers correctly suggests guessing.</w:t>
      </w:r>
    </w:p>
    <w:p>
      <w:pPr>
        <w:pStyle w:val="Heading2"/>
        <w:spacing w:after="140" w:before="280"/>
      </w:pPr>
      <w:r>
        <w:rPr>
          <w:b/>
          <w:bCs/>
        </w:rPr>
        <w:t xml:space="preserve">4.3 Body Posture Analysis</w:t>
      </w:r>
    </w:p>
    <w:p>
      <w:pPr>
        <w:spacing w:after="120" w:line="300"/>
        <w:jc w:val="both"/>
      </w:pPr>
      <w:r>
        <w:t xml:space="preserve">Pose keypoints yield torso inclination θ, shoulder symmetry s and head-displacement d relative to the calibrated baseline.</w:t>
      </w:r>
    </w:p>
    <w:p>
      <w:pPr>
        <w:pStyle w:val="ListParagraph"/>
        <w:numPr>
          <w:ilvl w:val="0"/>
          <w:numId w:val="3"/>
        </w:numPr>
        <w:spacing w:after="80"/>
      </w:pPr>
      <w:r>
        <w:t xml:space="preserve">Lean-out events: θ &gt; 25° from vertical for &gt; 2 s — possible consultation with off-camera person.</w:t>
      </w:r>
    </w:p>
    <w:p>
      <w:pPr>
        <w:pStyle w:val="ListParagraph"/>
        <w:numPr>
          <w:ilvl w:val="0"/>
          <w:numId w:val="3"/>
        </w:numPr>
        <w:spacing w:after="80"/>
      </w:pPr>
      <w:r>
        <w:t xml:space="preserve">Multi-person check: secondary face/pose detected in frame → hard flag.</w:t>
      </w:r>
    </w:p>
    <w:p>
      <w:pPr>
        <w:pStyle w:val="ListParagraph"/>
        <w:numPr>
          <w:ilvl w:val="0"/>
          <w:numId w:val="3"/>
        </w:numPr>
        <w:spacing w:after="80"/>
      </w:pPr>
      <w:r>
        <w:t xml:space="preserve">Absence detection: no torso for &gt; 5 s during active question → auto-pause.</w:t>
      </w:r>
    </w:p>
    <w:p>
      <w:pPr>
        <w:pStyle w:val="Heading2"/>
        <w:spacing w:after="140" w:before="280"/>
      </w:pPr>
      <w:r>
        <w:rPr>
          <w:b/>
          <w:bCs/>
        </w:rPr>
        <w:t xml:space="preserve">4.4 Time-Control Fusion</w:t>
      </w:r>
    </w:p>
    <w:p>
      <w:pPr>
        <w:spacing w:after="120" w:line="300"/>
        <w:jc w:val="both"/>
      </w:pPr>
      <w:r>
        <w:t xml:space="preserve">Per-question latency t_q is fused with behavioural features into a Behavioural Risk Score (BRS):</w:t>
      </w:r>
    </w:p>
    <w:p>
      <w:pPr>
        <w:spacing w:after="200" w:before="120"/>
        <w:jc w:val="center"/>
      </w:pPr>
      <w:r>
        <w:rPr>
          <w:rFonts w:ascii="Consolas" w:cs="Consolas" w:eastAsia="Consolas" w:hAnsi="Consolas"/>
          <w:b/>
          <w:bCs/>
          <w:sz w:val="22"/>
          <w:szCs w:val="22"/>
        </w:rPr>
        <w:t xml:space="preserve">BRS = w1·GOR + w2·LeanOut + w3·StressSpike + w4·|t_q − μ_q|/σ_q</w:t>
      </w:r>
    </w:p>
    <w:p>
      <w:pPr>
        <w:spacing w:after="120" w:line="300"/>
        <w:jc w:val="both"/>
      </w:pPr>
      <w:r>
        <w:t xml:space="preserve">Weights w1…w4 are tuned per institution via logistic regression on a labelled pilot dataset. BRS ∈ [0,1]; thresholds typically 0.3 (warn) and 0.6 (flag for review).</w:t>
      </w:r>
    </w:p>
    <w:p>
      <w:pPr>
        <w:pStyle w:val="Heading1"/>
        <w:spacing w:after="140" w:before="280"/>
      </w:pPr>
      <w:r>
        <w:rPr>
          <w:b/>
          <w:bCs/>
        </w:rPr>
        <w:t xml:space="preserve">5. Mapping Behavioural Signals to OBE Integrity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4560"/>
      </w:tblGrid>
      <w:tr>
        <w:trPr>
          <w:tblHeader/>
        </w:trPr>
        <w:tc>
          <w:tcPr>
            <w:tcW w:type="dxa" w:w="2200"/>
            <w:tcBorders>
              <w:top w:val="single" w:color="888888" w:sz="4"/>
              <w:left w:val="single" w:color="888888" w:sz="4"/>
              <w:bottom w:val="single" w:color="888888" w:sz="4"/>
              <w:right w:val="single" w:color="888888" w:sz="4"/>
            </w:tcBorders>
            <w:shd w:fill="1F3A68" w:color="auto" w:val="clear"/>
            <w:tcMar>
              <w:top w:type="dxa" w:w="100"/>
              <w:left w:type="dxa" w:w="140"/>
              <w:bottom w:type="dxa" w:w="100"/>
              <w:right w:type="dxa" w:w="140"/>
            </w:tcMar>
          </w:tcPr>
          <w:p>
            <w:r>
              <w:rPr>
                <w:b/>
                <w:bCs/>
                <w:color w:val="FFFFFF"/>
              </w:rPr>
              <w:t xml:space="preserve">Signal</w:t>
            </w:r>
          </w:p>
        </w:tc>
        <w:tc>
          <w:tcPr>
            <w:tcW w:type="dxa" w:w="2600"/>
            <w:tcBorders>
              <w:top w:val="single" w:color="888888" w:sz="4"/>
              <w:left w:val="single" w:color="888888" w:sz="4"/>
              <w:bottom w:val="single" w:color="888888" w:sz="4"/>
              <w:right w:val="single" w:color="888888" w:sz="4"/>
            </w:tcBorders>
            <w:shd w:fill="1F3A68" w:color="auto" w:val="clear"/>
            <w:tcMar>
              <w:top w:type="dxa" w:w="100"/>
              <w:left w:type="dxa" w:w="140"/>
              <w:bottom w:type="dxa" w:w="100"/>
              <w:right w:type="dxa" w:w="140"/>
            </w:tcMar>
          </w:tcPr>
          <w:p>
            <w:r>
              <w:rPr>
                <w:b/>
                <w:bCs/>
                <w:color w:val="FFFFFF"/>
              </w:rPr>
              <w:t xml:space="preserve">Indicator</w:t>
            </w:r>
          </w:p>
        </w:tc>
        <w:tc>
          <w:tcPr>
            <w:tcW w:type="dxa" w:w="4560"/>
            <w:tcBorders>
              <w:top w:val="single" w:color="888888" w:sz="4"/>
              <w:left w:val="single" w:color="888888" w:sz="4"/>
              <w:bottom w:val="single" w:color="888888" w:sz="4"/>
              <w:right w:val="single" w:color="888888" w:sz="4"/>
            </w:tcBorders>
            <w:shd w:fill="1F3A68" w:color="auto" w:val="clear"/>
            <w:tcMar>
              <w:top w:type="dxa" w:w="100"/>
              <w:left w:type="dxa" w:w="140"/>
              <w:bottom w:type="dxa" w:w="100"/>
              <w:right w:type="dxa" w:w="140"/>
            </w:tcMar>
          </w:tcPr>
          <w:p>
            <w:r>
              <w:rPr>
                <w:b/>
                <w:bCs/>
                <w:color w:val="FFFFFF"/>
              </w:rPr>
              <w:t xml:space="preserve">OBE Implication</w:t>
            </w:r>
          </w:p>
        </w:tc>
      </w:tr>
      <w:tr>
        <w:tc>
          <w:tcPr>
            <w:tcW w:type="dxa" w:w="22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Gaze-off-screen ratio</w:t>
            </w:r>
          </w:p>
        </w:tc>
        <w:tc>
          <w:tcPr>
            <w:tcW w:type="dxa" w:w="26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&gt; 30% of question time</w:t>
            </w:r>
          </w:p>
        </w:tc>
        <w:tc>
          <w:tcPr>
            <w:tcW w:type="dxa" w:w="456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Likely external reference; lowers CO evidence weight</w:t>
            </w:r>
          </w:p>
        </w:tc>
      </w:tr>
      <w:tr>
        <w:tc>
          <w:tcPr>
            <w:tcW w:type="dxa" w:w="22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Blink rate spike</w:t>
            </w:r>
          </w:p>
        </w:tc>
        <w:tc>
          <w:tcPr>
            <w:tcW w:type="dxa" w:w="26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&gt; 2σ from baseline</w:t>
            </w:r>
          </w:p>
        </w:tc>
        <w:tc>
          <w:tcPr>
            <w:tcW w:type="dxa" w:w="456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Cognitive load or stress; contextual flag</w:t>
            </w:r>
          </w:p>
        </w:tc>
      </w:tr>
      <w:tr>
        <w:tc>
          <w:tcPr>
            <w:tcW w:type="dxa" w:w="22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Lean-out posture</w:t>
            </w:r>
          </w:p>
        </w:tc>
        <w:tc>
          <w:tcPr>
            <w:tcW w:type="dxa" w:w="26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Torso &gt; 25°, &gt; 2 s</w:t>
            </w:r>
          </w:p>
        </w:tc>
        <w:tc>
          <w:tcPr>
            <w:tcW w:type="dxa" w:w="456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Possible peer consultation</w:t>
            </w:r>
          </w:p>
        </w:tc>
      </w:tr>
      <w:tr>
        <w:tc>
          <w:tcPr>
            <w:tcW w:type="dxa" w:w="22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Multi-face detection</w:t>
            </w:r>
          </w:p>
        </w:tc>
        <w:tc>
          <w:tcPr>
            <w:tcW w:type="dxa" w:w="26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 2 faces in frame</w:t>
            </w:r>
          </w:p>
        </w:tc>
        <w:tc>
          <w:tcPr>
            <w:tcW w:type="dxa" w:w="456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Hard violation; question invalidated</w:t>
            </w:r>
          </w:p>
        </w:tc>
      </w:tr>
      <w:tr>
        <w:tc>
          <w:tcPr>
            <w:tcW w:type="dxa" w:w="22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Tab-switch event</w:t>
            </w:r>
          </w:p>
        </w:tc>
        <w:tc>
          <w:tcPr>
            <w:tcW w:type="dxa" w:w="26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Any during quiz</w:t>
            </w:r>
          </w:p>
        </w:tc>
        <w:tc>
          <w:tcPr>
            <w:tcW w:type="dxa" w:w="456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Cross-checked with gaze drop</w:t>
            </w:r>
          </w:p>
        </w:tc>
      </w:tr>
      <w:tr>
        <w:tc>
          <w:tcPr>
            <w:tcW w:type="dxa" w:w="22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Latency vs cohort</w:t>
            </w:r>
          </w:p>
        </w:tc>
        <w:tc>
          <w:tcPr>
            <w:tcW w:type="dxa" w:w="260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z-score &gt; 2</w:t>
            </w:r>
          </w:p>
        </w:tc>
        <w:tc>
          <w:tcPr>
            <w:tcW w:type="dxa" w:w="4560"/>
            <w:tcBorders>
              <w:top w:val="single" w:color="888888" w:sz="4"/>
              <w:left w:val="single" w:color="888888" w:sz="4"/>
              <w:bottom w:val="single" w:color="888888" w:sz="4"/>
              <w:right w:val="single" w:color="888888" w:sz="4"/>
            </w:tcBorders>
            <w:tcMar>
              <w:top w:type="dxa" w:w="100"/>
              <w:left w:type="dxa" w:w="140"/>
              <w:bottom w:type="dxa" w:w="100"/>
              <w:right w:type="dxa" w:w="140"/>
            </w:tcMar>
          </w:tcPr>
          <w:p>
            <w:r>
              <w:rPr>
                <w:b w:val="false"/>
                <w:bCs w:val="false"/>
                <w:color w:val="000000"/>
              </w:rPr>
              <w:t xml:space="preserve">Either guessing or look-up; weighted with BRS</w:t>
            </w:r>
          </w:p>
        </w:tc>
      </w:tr>
    </w:tbl>
    <w:p>
      <w:r>
        <w:br w:type="page"/>
      </w:r>
    </w:p>
    <w:p>
      <w:pPr>
        <w:pStyle w:val="Heading1"/>
        <w:spacing w:after="140" w:before="280"/>
      </w:pPr>
      <w:r>
        <w:rPr>
          <w:b/>
          <w:bCs/>
        </w:rPr>
        <w:t xml:space="preserve">6. Implementation Notes for Indian HEIs</w:t>
      </w:r>
    </w:p>
    <w:p>
      <w:pPr>
        <w:pStyle w:val="ListParagraph"/>
        <w:numPr>
          <w:ilvl w:val="0"/>
          <w:numId w:val="2"/>
        </w:numPr>
        <w:spacing w:after="80"/>
      </w:pPr>
      <w:r>
        <w:t xml:space="preserve">Edge-first design: All vision inference runs in-browser via TensorFlow.js / MediaPipe WASM; only aggregated scores (not video) leave the device, satisfying DPDP Act 2023 minimisation.</w:t>
      </w:r>
    </w:p>
    <w:p>
      <w:pPr>
        <w:pStyle w:val="ListParagraph"/>
        <w:numPr>
          <w:ilvl w:val="0"/>
          <w:numId w:val="2"/>
        </w:numPr>
        <w:spacing w:after="80"/>
      </w:pPr>
      <w:r>
        <w:t xml:space="preserve">Bandwidth budget: ≤ 20 kbps uplink for telemetry, viable on 2G fallback used in tier-3 districts.</w:t>
      </w:r>
    </w:p>
    <w:p>
      <w:pPr>
        <w:pStyle w:val="ListParagraph"/>
        <w:numPr>
          <w:ilvl w:val="0"/>
          <w:numId w:val="2"/>
        </w:numPr>
        <w:spacing w:after="80"/>
      </w:pPr>
      <w:r>
        <w:t xml:space="preserve">Consent UX: Bilingual (English + regional) consent screen with explicit purpose binding to OBE attainment.</w:t>
      </w:r>
    </w:p>
    <w:p>
      <w:pPr>
        <w:pStyle w:val="ListParagraph"/>
        <w:numPr>
          <w:ilvl w:val="0"/>
          <w:numId w:val="2"/>
        </w:numPr>
        <w:spacing w:after="80"/>
      </w:pPr>
      <w:r>
        <w:t xml:space="preserve">Calibration: 30-second 9-point gaze calibration before each session; stored hashed per LMS user.</w:t>
      </w:r>
    </w:p>
    <w:p>
      <w:pPr>
        <w:pStyle w:val="ListParagraph"/>
        <w:numPr>
          <w:ilvl w:val="0"/>
          <w:numId w:val="2"/>
        </w:numPr>
        <w:spacing w:after="80"/>
      </w:pPr>
      <w:r>
        <w:t xml:space="preserve">LMS integration: LTI 1.3 plug-in for Moodle, Google Classroom and SWAYAM; CO mapping imported from existing question banks.</w:t>
      </w:r>
    </w:p>
    <w:p>
      <w:pPr>
        <w:pStyle w:val="ListParagraph"/>
        <w:numPr>
          <w:ilvl w:val="0"/>
          <w:numId w:val="2"/>
        </w:numPr>
        <w:spacing w:after="80"/>
      </w:pPr>
      <w:r>
        <w:t xml:space="preserve">Audit trail: Only flagged frames (≤ 5% of session) retained for 90 days under SOP; raw video discarded immediately.</w:t>
      </w:r>
    </w:p>
    <w:p>
      <w:pPr>
        <w:pStyle w:val="Heading1"/>
        <w:spacing w:after="140" w:before="280"/>
      </w:pPr>
      <w:r>
        <w:rPr>
          <w:b/>
          <w:bCs/>
        </w:rPr>
        <w:t xml:space="preserve">7. Pilot Validation Methodology</w:t>
      </w:r>
    </w:p>
    <w:p>
      <w:pPr>
        <w:pStyle w:val="ListParagraph"/>
        <w:numPr>
          <w:ilvl w:val="0"/>
          <w:numId w:val="3"/>
        </w:numPr>
        <w:spacing w:after="80"/>
      </w:pPr>
      <w:r>
        <w:t xml:space="preserve">Recruit 200 students across 3 disciplines (Engineering, Commerce, Arts) in 2 HEIs.</w:t>
      </w:r>
    </w:p>
    <w:p>
      <w:pPr>
        <w:pStyle w:val="ListParagraph"/>
        <w:numPr>
          <w:ilvl w:val="0"/>
          <w:numId w:val="3"/>
        </w:numPr>
        <w:spacing w:after="80"/>
      </w:pPr>
      <w:r>
        <w:t xml:space="preserve">Each student attempts a 30-question MCQ test under three conditions: in-person proctored (ground truth), online with pipeline, online without pipeline.</w:t>
      </w:r>
    </w:p>
    <w:p>
      <w:pPr>
        <w:pStyle w:val="ListParagraph"/>
        <w:numPr>
          <w:ilvl w:val="0"/>
          <w:numId w:val="3"/>
        </w:numPr>
        <w:spacing w:after="80"/>
      </w:pPr>
      <w:r>
        <w:t xml:space="preserve">Compare CO attainment distributions; expect convergence between in-person and pipeline-assisted online (Cohen's d &lt; 0.2).</w:t>
      </w:r>
    </w:p>
    <w:p>
      <w:pPr>
        <w:pStyle w:val="ListParagraph"/>
        <w:numPr>
          <w:ilvl w:val="0"/>
          <w:numId w:val="3"/>
        </w:numPr>
        <w:spacing w:after="80"/>
      </w:pPr>
      <w:r>
        <w:t xml:space="preserve">Inter-rater agreement: human reviewer vs. system on flagged frames; target κ ≥ 0.75.</w:t>
      </w:r>
    </w:p>
    <w:p>
      <w:pPr>
        <w:pStyle w:val="ListParagraph"/>
        <w:numPr>
          <w:ilvl w:val="0"/>
          <w:numId w:val="3"/>
        </w:numPr>
        <w:spacing w:after="80"/>
      </w:pPr>
      <w:r>
        <w:t xml:space="preserve">Equity audit: disaggregate false-positive rates by gender, skin tone, regional language to detect bias.</w:t>
      </w:r>
    </w:p>
    <w:p>
      <w:pPr>
        <w:pStyle w:val="Heading1"/>
        <w:spacing w:after="140" w:before="280"/>
      </w:pPr>
      <w:r>
        <w:rPr>
          <w:b/>
          <w:bCs/>
        </w:rPr>
        <w:t xml:space="preserve">8. Ethical Considerations and Limitations</w:t>
      </w:r>
    </w:p>
    <w:p>
      <w:pPr>
        <w:spacing w:after="120" w:line="300"/>
        <w:jc w:val="both"/>
      </w:pPr>
      <w:r>
        <w:t xml:space="preserve">Facial expression recognition is probabilistic; flags must never be used as sole grounds for academic misconduct. The system is positioned as a triage tool — high-risk sessions are escalated to a human reviewer, who alone decides on disciplinary action. Differential performance on darker skin tones, women wearing dupattas/hijabs, and learners using assistive devices must be measured and disclosed. The University Grants Commission's draft online evaluation guidelines (2024) should be referenced before institutional roll-out.</w:t>
      </w:r>
    </w:p>
    <w:p>
      <w:pPr>
        <w:pStyle w:val="Heading1"/>
        <w:spacing w:after="140" w:before="280"/>
      </w:pPr>
      <w:r>
        <w:rPr>
          <w:b/>
          <w:bCs/>
        </w:rPr>
        <w:t xml:space="preserve">9. Conclusion</w:t>
      </w:r>
    </w:p>
    <w:p>
      <w:pPr>
        <w:spacing w:after="120" w:line="300"/>
        <w:jc w:val="both"/>
      </w:pPr>
      <w:r>
        <w:t xml:space="preserve">Combining eye-catch, facial-expression and body-posture analysis with a time-controlled MCQ engine offers Indian HEIs a privacy-respecting, scalable mechanism to digitally track learner behaviour and defend the integrity of OBE attainment evidence. The proposed Behavioural Risk Score plugs directly into existing CO/PO rubrics, turning a black-box online quiz into an auditable instrument acceptable to NAAC and NBA assessors. With careful calibration, bilingual consent, edge inference and human-in-the-loop review, image processing can advance — rather than threaten — the fairness of outcome-based assessment in India.</w:t>
      </w:r>
    </w:p>
    <w:p>
      <w:pPr>
        <w:pStyle w:val="Heading1"/>
        <w:spacing w:after="140" w:before="280"/>
      </w:pPr>
      <w:r>
        <w:rPr>
          <w:b/>
          <w:bCs/>
        </w:rPr>
        <w:t xml:space="preserve">References</w:t>
      </w:r>
    </w:p>
    <w:p>
      <w:pPr>
        <w:pStyle w:val="ListParagraph"/>
        <w:numPr>
          <w:ilvl w:val="0"/>
          <w:numId w:val="2"/>
        </w:numPr>
        <w:spacing w:after="80"/>
      </w:pPr>
      <w:r>
        <w:t xml:space="preserve">National Education Policy 2020, Ministry of Education, Government of India.</w:t>
      </w:r>
    </w:p>
    <w:p>
      <w:pPr>
        <w:pStyle w:val="ListParagraph"/>
        <w:numPr>
          <w:ilvl w:val="0"/>
          <w:numId w:val="2"/>
        </w:numPr>
        <w:spacing w:after="80"/>
      </w:pPr>
      <w:r>
        <w:t xml:space="preserve">NBA Self-Assessment Report Manual, Tier-I, 2023.</w:t>
      </w:r>
    </w:p>
    <w:p>
      <w:pPr>
        <w:pStyle w:val="ListParagraph"/>
        <w:numPr>
          <w:ilvl w:val="0"/>
          <w:numId w:val="2"/>
        </w:numPr>
        <w:spacing w:after="80"/>
      </w:pPr>
      <w:r>
        <w:t xml:space="preserve">Lugaresi, C. et al. "MediaPipe: A Framework for Building Perception Pipelines." Google Research, 2019.</w:t>
      </w:r>
    </w:p>
    <w:p>
      <w:pPr>
        <w:pStyle w:val="ListParagraph"/>
        <w:numPr>
          <w:ilvl w:val="0"/>
          <w:numId w:val="2"/>
        </w:numPr>
        <w:spacing w:after="80"/>
      </w:pPr>
      <w:r>
        <w:t xml:space="preserve">Soukupová, T. &amp; Čech, J. "Real-Time Eye Blink Detection using Facial Landmarks." CVWW, 2016.</w:t>
      </w:r>
    </w:p>
    <w:p>
      <w:pPr>
        <w:pStyle w:val="ListParagraph"/>
        <w:numPr>
          <w:ilvl w:val="0"/>
          <w:numId w:val="2"/>
        </w:numPr>
        <w:spacing w:after="80"/>
      </w:pPr>
      <w:r>
        <w:t xml:space="preserve">Mollahosseini, A. et al. "AffectNet: A Database for Facial Expression, Valence, and Arousal in the Wild." IEEE T-AC, 2019.</w:t>
      </w:r>
    </w:p>
    <w:p>
      <w:pPr>
        <w:pStyle w:val="ListParagraph"/>
        <w:numPr>
          <w:ilvl w:val="0"/>
          <w:numId w:val="2"/>
        </w:numPr>
        <w:spacing w:after="80"/>
      </w:pPr>
      <w:r>
        <w:t xml:space="preserve">Digital Personal Data Protection Act, Government of India, 2023.</w:t>
      </w:r>
    </w:p>
    <w:p>
      <w:pPr>
        <w:pStyle w:val="ListParagraph"/>
        <w:numPr>
          <w:ilvl w:val="0"/>
          <w:numId w:val="2"/>
        </w:numPr>
        <w:spacing w:after="80"/>
      </w:pPr>
      <w:r>
        <w:t xml:space="preserve">UGC Draft Guidelines on Online Examinations, 2024.</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8"/>
        <w:szCs w:val="18"/>
      </w:rPr>
      <w:t xml:space="preserve">Image Processing for OBE Proctoring  •  Page </w:t>
    </w:r>
    <w:r>
      <w:rPr>
        <w:color w:val="777777"/>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Calibri" w:cs="Calibri" w:eastAsia="Calibri" w:hAnsi="Calibri"/>
      <w:b/>
      <w:bCs/>
      <w:color w:val="1F3A68"/>
      <w:sz w:val="30"/>
      <w:szCs w:val="30"/>
    </w:rPr>
  </w:style>
  <w:style w:type="paragraph" w:styleId="Heading2">
    <w:name w:val="Heading 2"/>
    <w:basedOn w:val="Normal"/>
    <w:next w:val="Normal"/>
    <w:qFormat/>
    <w:pPr>
      <w:spacing w:after="120" w:before="240"/>
      <w:outlineLvl w:val="1"/>
    </w:pPr>
    <w:rPr>
      <w:rFonts w:ascii="Calibri" w:cs="Calibri" w:eastAsia="Calibri" w:hAnsi="Calibri"/>
      <w:b/>
      <w:bCs/>
      <w:color w:val="2E5A9E"/>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Image Processing for OBE Proctoring</dc:title>
  <dc:creator>Lovable</dc:creator>
  <cp:lastModifiedBy>Un-named</cp:lastModifiedBy>
  <cp:revision>1</cp:revision>
  <dcterms:created xsi:type="dcterms:W3CDTF">2026-05-27T14:45:10.799Z</dcterms:created>
  <dcterms:modified xsi:type="dcterms:W3CDTF">2026-05-27T14:45:10.799Z</dcterms:modified>
</cp:coreProperties>
</file>

<file path=docProps/custom.xml><?xml version="1.0" encoding="utf-8"?>
<Properties xmlns="http://schemas.openxmlformats.org/officeDocument/2006/custom-properties" xmlns:vt="http://schemas.openxmlformats.org/officeDocument/2006/docPropsVTypes"/>
</file>