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40"/>
          <w:szCs w:val="40"/>
        </w:rPr>
        <w:t xml:space="preserve">Outcome-Based Education for NAAC Accreditation</w:t>
      </w:r>
    </w:p>
    <w:p>
      <w:pPr>
        <w:pBdr>
          <w:bottom w:val="single" w:color="1F3864" w:sz="6" w:space="6"/>
        </w:pBdr>
        <w:spacing w:after="400"/>
        <w:jc w:val="center"/>
      </w:pPr>
      <w:r>
        <w:rPr>
          <w:color w:val="444444"/>
          <w:sz w:val="24"/>
          <w:szCs w:val="24"/>
        </w:rPr>
        <w:t xml:space="preserve">PEO · PO · PSO · CO — Definitions, Mapping Rules and Matrices</w:t>
      </w:r>
    </w:p>
    <w:p>
      <w:pPr>
        <w:pStyle w:val="Heading1"/>
      </w:pPr>
      <w:r>
        <w:t xml:space="preserve">1. The Outcome Hierarchy</w:t>
      </w:r>
    </w:p>
    <w:p>
      <w:r>
        <w:t xml:space="preserve">Outcome-Based Education (OBE) defines what a learner should be able to do at the end of a learning experience, and then works backwards to design teaching and assessment. NAAC assessors look for a documented, evidence-backed chain from institutional vision down to individual question papers.</w:t>
      </w:r>
    </w:p>
    <w:p>
      <w:pPr>
        <w:spacing w:after="120"/>
      </w:pPr>
      <w:r>
        <w:t xml:space="preserve"/>
      </w:r>
    </w:p>
    <w:p>
      <w:r>
        <w:rPr>
          <w:b/>
          <w:bCs/>
          <w:color w:val="1F3864"/>
        </w:rPr>
        <w:t xml:space="preserve">Vision → Mission → PEO → PO / PSO → CO → Unit Outcome → Question</w:t>
      </w:r>
    </w:p>
    <w:p>
      <w:pPr>
        <w:spacing w:after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300"/>
        <w:gridCol w:w="3260"/>
        <w:gridCol w:w="2400"/>
      </w:tblGrid>
      <w:tr>
        <w:trPr>
          <w:tblHeader/>
        </w:trP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Level</w:t>
            </w:r>
          </w:p>
        </w:tc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Full Name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Time Horizon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Vision</w:t>
            </w:r>
          </w:p>
        </w:tc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Institutional Vision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The long-term aspiration of the institution.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Perpetual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Mission</w:t>
            </w:r>
          </w:p>
        </w:tc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Institutional Mission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The daily activities pursued to realise the vision.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Perpetual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PEO</w:t>
            </w:r>
          </w:p>
        </w:tc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Programme Educational Objective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Career and professional accomplishments expected of graduates.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3–5 years after graduation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</w:t>
            </w:r>
          </w:p>
        </w:tc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Programme Outcome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Broad graduate attributes common to the discipline (e.g. 12 NBA POs for engineering).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At graduation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PSO</w:t>
            </w:r>
          </w:p>
        </w:tc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Programme Specific Outcome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Specialisation-specific abilities unique to that programme.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At graduation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</w:t>
            </w:r>
          </w:p>
        </w:tc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Course Outcome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What a student can do at the end of one course/subject.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End of semester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UO</w:t>
            </w:r>
          </w:p>
        </w:tc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Unit / Module Outcome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Outcome of a single unit within a course.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End of unit</w:t>
            </w:r>
          </w:p>
        </w:tc>
      </w:tr>
    </w:tbl>
    <w:p>
      <w:pPr>
        <w:pStyle w:val="Heading1"/>
      </w:pPr>
      <w:r>
        <w:t xml:space="preserve">2. Writing Good Outcomes</w:t>
      </w:r>
    </w:p>
    <w:p>
      <w:r>
        <w:t xml:space="preserve">Every outcome is written as: Action verb + Content/Context + Standard or Condition. Use one measurable verb per statement; avoid 'understand', 'know', 'learn', 'be aware of'.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Bloom's Taxonomy — Verb Bank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1700"/>
        <w:gridCol w:w="3400"/>
        <w:gridCol w:w="3260"/>
      </w:tblGrid>
      <w:tr>
        <w:trPr>
          <w:tblHeader/>
        </w:trP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Level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Cognitive Level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Typical Action Verbs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Typical Assessment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L1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Remember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define, list, state, label, recall, name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Short answer, MCQ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L2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Understand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explain, describe, classify, summarise, differentiate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Descriptive questions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L3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Apply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apply, solve, compute, demonstrate, use, illustrate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Numericals, lab work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L4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Analyse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analyse, compare, derive, examine, categorise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Case studies, derivations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L5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Evaluate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evaluate, justify, critique, recommend, select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Seminars, reviews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L6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Create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design, formulate, develop, construct, compose</w:t>
            </w:r>
          </w:p>
        </w:tc>
        <w:tc>
          <w:tcPr>
            <w:tcW w:type="dxa" w:w="3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Projects, mini-projects</w:t>
            </w:r>
          </w:p>
        </w:tc>
      </w:tr>
    </w:tbl>
    <w:p>
      <w:pPr>
        <w:spacing w:after="120"/>
      </w:pPr>
      <w:r>
        <w:t xml:space="preserve"/>
      </w:r>
    </w:p>
    <w:p>
      <w:r>
        <w:rPr>
          <w:i/>
          <w:iCs/>
        </w:rPr>
        <w:t xml:space="preserve">Rule of thumb: theory courses should span L1–L4 with a minimum share at L3 and above; design/project courses must reach L5–L6.</w:t>
      </w:r>
    </w:p>
    <w:p>
      <w:pPr>
        <w:pStyle w:val="Heading1"/>
      </w:pPr>
      <w:r>
        <w:t xml:space="preserve">3. The Twelve Programme Outcomes (NBA / Washington Accord)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400"/>
        <w:gridCol w:w="6060"/>
      </w:tblGrid>
      <w:tr>
        <w:trPr>
          <w:tblHeader/>
        </w:trP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Attribute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PO1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Engineering Knowledge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Apply knowledge of mathematics, science and engineering fundamentals to solve complex problems.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PO2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Problem Analysis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Identify, formulate and analyse complex problems using first principles.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PO3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Design / Development of Solutions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Design solutions and system components meeting specified needs with due consideration for safety and sustainability.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PO4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Investigation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Use research-based knowledge, experiments and data analysis to reach valid conclusions.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PO5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Modern Tool Usage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Select and apply appropriate techniques, resources and modern tools.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PO6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Engineer and Society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Assess societal, health, safety, legal and cultural issues relevant to practice.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PO7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Environment and Sustainability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Understand the impact of solutions in environmental contexts and demonstrate knowledge of sustainable development.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PO8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Ethics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Apply ethical principles and professional responsibilities.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PO9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Individual and Team Work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Function effectively as an individual, team member and leader.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PO10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Communication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Communicate effectively through reports, documentation and presentations.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PO11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Project Management and Finance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Apply management principles to projects in multidisciplinary environments.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PO12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Life-long Learning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Recognise the need for, and engage in, independent and life-long learning.</w:t>
            </w:r>
          </w:p>
        </w:tc>
      </w:tr>
    </w:tbl>
    <w:p>
      <w:pPr>
        <w:spacing w:after="120"/>
      </w:pPr>
      <w:r>
        <w:t xml:space="preserve"/>
      </w:r>
    </w:p>
    <w:p>
      <w:r>
        <w:t xml:space="preserve">Programmes outside engineering (Arts, Science, Commerce) frame 6–10 POs of their own; the structure and mapping method remain identical.</w:t>
      </w:r>
    </w:p>
    <w:p>
      <w:pPr>
        <w:pStyle w:val="Heading1"/>
      </w:pPr>
      <w:r>
        <w:t xml:space="preserve">4. Programme Specific Outcomes — Example (B.E. Computer Science)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rPr>
          <w:tblHeader/>
        </w:trP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PSO</w:t>
            </w:r>
          </w:p>
        </w:tc>
        <w:tc>
          <w:tcPr>
            <w:tcW w:type="dxa" w:w="8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Statement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PSO1</w:t>
            </w:r>
          </w:p>
        </w:tc>
        <w:tc>
          <w:tcPr>
            <w:tcW w:type="dxa" w:w="8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Apply data structures, algorithms and software engineering principles to design and develop efficient computing solutions.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PSO2</w:t>
            </w:r>
          </w:p>
        </w:tc>
        <w:tc>
          <w:tcPr>
            <w:tcW w:type="dxa" w:w="8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Employ contemporary platforms in AI, data science, networking and cloud computing to build industry-relevant applications.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PSO3</w:t>
            </w:r>
          </w:p>
        </w:tc>
        <w:tc>
          <w:tcPr>
            <w:tcW w:type="dxa" w:w="8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Demonstrate professional competence through internships, certifications, research publications or entrepreneurial ventures.</w:t>
            </w:r>
          </w:p>
        </w:tc>
      </w:tr>
    </w:tbl>
    <w:p>
      <w:pPr>
        <w:pStyle w:val="Heading1"/>
      </w:pPr>
      <w:r>
        <w:t xml:space="preserve">5. Course Outcomes — Example (CS201 Data Structures and Algorithms)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6060"/>
        <w:gridCol w:w="1100"/>
        <w:gridCol w:w="1100"/>
      </w:tblGrid>
      <w:tr>
        <w:trPr>
          <w:tblHeader/>
        </w:trP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Statement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Bloom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Marks %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CO1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Explain fundamental data structures and their operations.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L2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20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CO2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Analyse the time and space complexity of algorithms.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L4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20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CO3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Apply linear data structures to solve computing problems.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L3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25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CO4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Implement non-linear data structures such as trees and graphs.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L3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20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CO5</w:t>
            </w:r>
          </w:p>
        </w:tc>
        <w:tc>
          <w:tcPr>
            <w:tcW w:type="dxa" w:w="6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Design efficient algorithmic solutions for real-world problems.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L6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</w:tr>
    </w:tbl>
    <w:p>
      <w:pPr>
        <w:spacing w:after="120"/>
      </w:pPr>
      <w:r>
        <w:t xml:space="preserve"/>
      </w:r>
    </w:p>
    <w:p>
      <w:r>
        <w:t xml:space="preserve">Keep 4–6 COs per course. Fewer than 4 is too coarse to assess; more than 6 becomes unmanageable in attainment calculations.</w:t>
      </w:r>
    </w:p>
    <w:p>
      <w:pPr>
        <w:pStyle w:val="Heading1"/>
      </w:pPr>
      <w:r>
        <w:t xml:space="preserve">6. Correlation Scale Used in All Matrices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5760"/>
      </w:tblGrid>
      <w:tr>
        <w:trPr>
          <w:tblHeader/>
        </w:trP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Strength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When to Use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Strong / High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The outcome is directly and substantially addressed and assessed.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Moderate / Medium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The outcome is addressed as a significant component but not the focus.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Weak / Low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The outcome is touched upon incidentally.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No correlation</w:t>
            </w:r>
          </w:p>
        </w:tc>
        <w:tc>
          <w:tcPr>
            <w:tcW w:type="dxa" w:w="5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Leave blank or place a hyphen. Never write 0.</w:t>
            </w:r>
          </w:p>
        </w:tc>
      </w:tr>
    </w:tbl>
    <w:p>
      <w:pPr>
        <w:spacing w:after="120"/>
      </w:pPr>
      <w:r>
        <w:t xml:space="preserve"/>
      </w:r>
    </w:p>
    <w:p>
      <w:r>
        <w:rPr>
          <w:b/>
          <w:bCs/>
        </w:rPr>
        <w:t xml:space="preserve">Discipline: never map a CO to every PO. A realistic course maps strongly to 2–4 POs. Over-mapping is the single most common finding raised by NAAC and NBA assessors.</w:t>
      </w:r>
    </w:p>
    <w:p>
      <w:pPr>
        <w:pStyle w:val="Heading1"/>
      </w:pPr>
      <w:r>
        <w:t xml:space="preserve">7. CO–PO / PSO Articulation Matrix</w:t>
      </w:r>
    </w:p>
    <w:p>
      <w:r>
        <w:t xml:space="preserve">This is the central document of OBE. It records the correlation of each CO with each PO and PSO. The final row is the course-level average, computed column-wise over the non-blank entries.</w:t>
      </w:r>
    </w:p>
    <w:p>
      <w:pPr>
        <w:spacing w:after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0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24"/>
      </w:tblGrid>
      <w:tr>
        <w:trPr>
          <w:tblHeader/>
        </w:trPr>
        <w:tc>
          <w:tcPr>
            <w:tcW w:type="dxa" w:w="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PO4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PO5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PO6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PO7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PO8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PO9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PO10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PO11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PO12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PSO1</w:t>
            </w:r>
          </w:p>
        </w:tc>
        <w:tc>
          <w:tcPr>
            <w:tcW w:type="dxa" w:w="62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PSO2</w:t>
            </w:r>
          </w:p>
        </w:tc>
      </w:tr>
      <w:tr>
        <w:tc>
          <w:tcPr>
            <w:tcW w:type="dxa" w:w="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2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</w:tr>
      <w:tr>
        <w:tc>
          <w:tcPr>
            <w:tcW w:type="dxa" w:w="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2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2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CO4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2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CO5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2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Avg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3.0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2.6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2.4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2.25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2.0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1.33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1.2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1.33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2.0</w:t>
            </w:r>
          </w:p>
        </w:tc>
        <w:tc>
          <w:tcPr>
            <w:tcW w:type="dxa" w:w="6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3.0</w:t>
            </w:r>
          </w:p>
        </w:tc>
        <w:tc>
          <w:tcPr>
            <w:tcW w:type="dxa" w:w="62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2.0</w:t>
            </w:r>
          </w:p>
        </w:tc>
      </w:tr>
    </w:tbl>
    <w:p>
      <w:pPr>
        <w:spacing w:after="120"/>
      </w:pPr>
      <w:r>
        <w:t xml:space="preserve"/>
      </w:r>
    </w:p>
    <w:p>
      <w:r>
        <w:t xml:space="preserve">Reading the matrix: CO5 (design) legitimately carries the ethics, environment and management POs because a design task forces those considerations. CO1 (recall-level) correctly maps to very few POs.</w:t>
      </w:r>
    </w:p>
    <w:p>
      <w:pPr>
        <w:pStyle w:val="Heading1"/>
      </w:pPr>
      <w:r>
        <w:t xml:space="preserve">8. PO–PEO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990"/>
        <w:gridCol w:w="1990"/>
        <w:gridCol w:w="1990"/>
        <w:gridCol w:w="1990"/>
      </w:tblGrid>
      <w:tr>
        <w:trPr>
          <w:tblHeader/>
        </w:trP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PEO1: Technical Career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PEO2: Higher Studies / Research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PEO3: Leadership &amp; Ethics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PEO4: Life-long Learning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PO1–PO5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PO6–PO8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PO9–PO10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PO11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PO12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9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</w:tr>
    </w:tbl>
    <w:p>
      <w:pPr>
        <w:pStyle w:val="Heading1"/>
      </w:pPr>
      <w:r>
        <w:t xml:space="preserve">9. CO Attainment Calculation</w:t>
      </w:r>
    </w:p>
    <w:p>
      <w:pPr>
        <w:pStyle w:val="Heading2"/>
      </w:pPr>
      <w:r>
        <w:t xml:space="preserve">9.1 Direct Attainment (weight 80%)</w:t>
      </w:r>
    </w:p>
    <w:p>
      <w:pPr>
        <w:pStyle w:val="ListParagraph"/>
        <w:numPr>
          <w:ilvl w:val="0"/>
          <w:numId w:val="2"/>
        </w:numPr>
      </w:pPr>
      <w:r>
        <w:t xml:space="preserve">Set a target threshold, commonly 60% of the marks allotted to that CO.</w:t>
      </w:r>
    </w:p>
    <w:p>
      <w:pPr>
        <w:pStyle w:val="ListParagraph"/>
        <w:numPr>
          <w:ilvl w:val="0"/>
          <w:numId w:val="2"/>
        </w:numPr>
      </w:pPr>
      <w:r>
        <w:t xml:space="preserve">Count the students who cross the threshold in the questions mapped to that CO.</w:t>
      </w:r>
    </w:p>
    <w:p>
      <w:pPr>
        <w:pStyle w:val="ListParagraph"/>
        <w:numPr>
          <w:ilvl w:val="0"/>
          <w:numId w:val="2"/>
        </w:numPr>
      </w:pPr>
      <w:r>
        <w:t xml:space="preserve">Convert the percentage of such students into an attainment level.</w:t>
      </w:r>
    </w:p>
    <w:p>
      <w:pPr>
        <w:spacing w:after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4680"/>
      </w:tblGrid>
      <w:tr>
        <w:trPr>
          <w:tblHeader/>
        </w:trP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Attainment Level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% of Students ≥ Threshold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Interpretation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Level 3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≥ 70%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Target fully achieved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Level 2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60% – 69%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Target substantially achieved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Level 1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50% – 59%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Target partially achieved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Level 0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&lt; 50%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Not achieved — corrective action required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2"/>
      </w:pPr>
      <w:r>
        <w:t xml:space="preserve">9.2 Indirect Attainment (weight 20%)</w:t>
      </w:r>
    </w:p>
    <w:p>
      <w:r>
        <w:t xml:space="preserve">Course-exit surveys, alumni surveys, employer feedback and programme-exit surveys, each converted to the same 0–3 scale.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9.3 Worked Example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1900"/>
        <w:gridCol w:w="1900"/>
        <w:gridCol w:w="1900"/>
        <w:gridCol w:w="2660"/>
      </w:tblGrid>
      <w:tr>
        <w:trPr>
          <w:tblHeader/>
        </w:trP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Internal (Level)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External (Level)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Direct (80%)</w:t>
            </w:r>
          </w:p>
        </w:tc>
        <w:tc>
          <w:tcPr>
            <w:tcW w:type="dxa" w:w="26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Final = Direct 80% + Indirect 20%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CO1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3.00</w:t>
            </w:r>
          </w:p>
        </w:tc>
        <w:tc>
          <w:tcPr>
            <w:tcW w:type="dxa" w:w="26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3.00 × 0.8 + 3.00 × 0.2 = 3.00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CO2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2.00</w:t>
            </w:r>
          </w:p>
        </w:tc>
        <w:tc>
          <w:tcPr>
            <w:tcW w:type="dxa" w:w="26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2.00 × 0.8 + 3.00 × 0.2 = 2.20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CO3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2.40</w:t>
            </w:r>
          </w:p>
        </w:tc>
        <w:tc>
          <w:tcPr>
            <w:tcW w:type="dxa" w:w="26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2.40 × 0.8 + 3.00 × 0.2 = 2.52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CO4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2.00</w:t>
            </w:r>
          </w:p>
        </w:tc>
        <w:tc>
          <w:tcPr>
            <w:tcW w:type="dxa" w:w="26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2.00 × 0.8 + 2.00 × 0.2 = 2.00</w:t>
            </w:r>
          </w:p>
        </w:tc>
      </w:tr>
      <w:tr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CO5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1.60</w:t>
            </w:r>
          </w:p>
        </w:tc>
        <w:tc>
          <w:tcPr>
            <w:tcW w:type="dxa" w:w="26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1.60 × 0.8 + 2.00 × 0.2 = 1.68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2"/>
      </w:pPr>
      <w:r>
        <w:t xml:space="preserve">9.4 From CO Attainment to PO Attainment</w:t>
      </w:r>
    </w:p>
    <w:p>
      <w:r>
        <w:t xml:space="preserve">PO attainment = Σ (CO attainment × CO–PO correlation) ÷ Σ (CO–PO correlation), computed column-wise from the articulation matrix in Section 7.</w:t>
      </w:r>
    </w:p>
    <w:p>
      <w:pPr>
        <w:spacing w:after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7960"/>
      </w:tblGrid>
      <w:tr>
        <w:trPr>
          <w:tblHeader/>
        </w:trP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Worked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PO2 attainment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Numerator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(3.00×2) + (2.20×3) + (2.52×3) + (2.00×2) + (1.68×3) = 6.00 + 6.60 + 7.56 + 4.00 + 5.04 = 29.20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Denominator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 + 3 + 3 + 2 + 3 = 13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PO2</w:t>
            </w:r>
          </w:p>
        </w:tc>
        <w:tc>
          <w:tcPr>
            <w:tcW w:type="dxa" w:w="7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29.20 ÷ 13 = 2.25  →  above the target of 2.0, PO2 is attained</w:t>
            </w:r>
          </w:p>
        </w:tc>
      </w:tr>
    </w:tbl>
    <w:p>
      <w:pPr>
        <w:pStyle w:val="Heading1"/>
      </w:pPr>
      <w:r>
        <w:t xml:space="preserve">10. Question Paper Blueprint — the Evidence NAAC Checks</w:t>
      </w:r>
    </w:p>
    <w:p>
      <w:r>
        <w:t xml:space="preserve">The question paper is where mapping becomes verifiable. Every question must carry a CO tag and a Bloom tag, and the mark distribution across COs must match the intended weightage.</w:t>
      </w:r>
    </w:p>
    <w:p>
      <w:pPr>
        <w:spacing w:after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4200"/>
        <w:gridCol w:w="1100"/>
        <w:gridCol w:w="1000"/>
        <w:gridCol w:w="1960"/>
      </w:tblGrid>
      <w:tr>
        <w:trPr>
          <w:tblHeader/>
        </w:trP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Q.No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Marks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Bloom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Define abstract data type with an example.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CO1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L1 Remember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State the best and worst case of quick sort.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CO2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L1 Remember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Differentiate between BFS and DFS traversal.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CO4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L2 Understand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Explain singly and doubly linked lists with diagrams.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CO1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L2 Understand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Derive the time complexity of binary search using the master theorem.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CO2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L4 Analyse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Convert an infix expression to postfix using a stack and evaluate it.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CO3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L3 Apply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Apply Dijkstra's algorithm on the given graph and trace each step.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CO3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L3 Apply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Design a hashing scheme for a large student database and justify collision handling.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CO5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L6 Create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4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Compare AVL and red-black trees for a read-heavy workload.</w:t>
            </w:r>
          </w:p>
        </w:tc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CO4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L5 Evaluate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2"/>
      </w:pPr>
      <w:r>
        <w:t xml:space="preserve">10.1 CO-wise Weightage Check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800"/>
        <w:gridCol w:w="1800"/>
        <w:gridCol w:w="1800"/>
        <w:gridCol w:w="2760"/>
      </w:tblGrid>
      <w:tr>
        <w:trPr>
          <w:tblHeader/>
        </w:trP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Marks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Actual %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Target %</w:t>
            </w:r>
          </w:p>
        </w:tc>
        <w:tc>
          <w:tcPr>
            <w:tcW w:type="dxa" w:w="2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Deviation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CO1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17.1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2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-2.9 — acceptable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CO2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17.1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2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-2.9 — acceptable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CO3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25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35.7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25</w:t>
            </w:r>
          </w:p>
        </w:tc>
        <w:tc>
          <w:tcPr>
            <w:tcW w:type="dxa" w:w="2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+10.7 — rebalance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CO4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17.1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2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-2.9 — acceptable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CO5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21.4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27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+6.4 — rebalance</w:t>
            </w:r>
          </w:p>
        </w:tc>
      </w:tr>
    </w:tbl>
    <w:p>
      <w:pPr>
        <w:spacing w:after="120"/>
      </w:pPr>
      <w:r>
        <w:t xml:space="preserve"/>
      </w:r>
    </w:p>
    <w:p>
      <w:r>
        <w:rPr>
          <w:i/>
          <w:iCs/>
        </w:rPr>
        <w:t xml:space="preserve">A deviation within ±5 percentage points is normally accepted. Anything larger should be corrected before the paper is finalised.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10.2 CO × Bloom Coverage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40"/>
        <w:gridCol w:w="1340"/>
        <w:gridCol w:w="1340"/>
        <w:gridCol w:w="1340"/>
        <w:gridCol w:w="1340"/>
        <w:gridCol w:w="1340"/>
        <w:gridCol w:w="1340"/>
      </w:tblGrid>
      <w:tr>
        <w:trPr>
          <w:tblHeader/>
        </w:trPr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L1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L2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L3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L4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L5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L6</w:t>
            </w:r>
          </w:p>
        </w:tc>
      </w:tr>
      <w:tr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CO1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</w:tr>
      <w:tr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CO2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</w:tr>
      <w:tr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CO3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25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</w:tr>
      <w:tr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CO4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</w:tr>
      <w:tr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CO5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15</w:t>
            </w:r>
          </w:p>
        </w:tc>
      </w:tr>
    </w:tbl>
    <w:p>
      <w:pPr>
        <w:pStyle w:val="Heading1"/>
      </w:pPr>
      <w:r>
        <w:t xml:space="preserve">11. Where OBE Appears in the NAAC Framework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000"/>
        <w:gridCol w:w="4960"/>
      </w:tblGrid>
      <w:tr>
        <w:trPr>
          <w:tblHeader/>
        </w:trP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Evidence Expected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1.1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Curricular Planning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Programme and course outcomes stated and communicated; academic calendar.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1.2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Academic Flexibility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Add-on, value-added and elective courses mapped to POs.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1.3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Curriculum Enrichment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Cross-cutting issues — ethics, gender, environment, human values — mapped to POs.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2.6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Student Performance and Learning Outcomes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The core OBE criterion: PO/CO statements, attainment computation, evidence of use.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2.7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Student Satisfaction Survey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Indirect attainment input.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6.5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IQAC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Review of attainment data and documented corrective action.</w:t>
            </w:r>
          </w:p>
        </w:tc>
      </w:tr>
      <w:tr>
        <w:tc>
          <w:tcPr>
            <w:tcW w:type="dxa" w:w="1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7.1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Institutional Values</w:t>
            </w:r>
          </w:p>
        </w:tc>
        <w:tc>
          <w:tcPr>
            <w:tcW w:type="dxa" w:w="4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Mapping of institutional practices to outcomes.</w:t>
            </w:r>
          </w:p>
        </w:tc>
      </w:tr>
    </w:tbl>
    <w:p>
      <w:pPr>
        <w:pStyle w:val="Heading1"/>
      </w:pPr>
      <w:r>
        <w:t xml:space="preserve">12. Documentation Checklist</w:t>
      </w:r>
    </w:p>
    <w:p>
      <w:pPr>
        <w:pStyle w:val="ListParagraph"/>
        <w:numPr>
          <w:ilvl w:val="0"/>
          <w:numId w:val="2"/>
        </w:numPr>
      </w:pPr>
      <w:r>
        <w:t xml:space="preserve">Vision and mission displayed and disseminated.</w:t>
      </w:r>
    </w:p>
    <w:p>
      <w:pPr>
        <w:pStyle w:val="ListParagraph"/>
        <w:numPr>
          <w:ilvl w:val="0"/>
          <w:numId w:val="2"/>
        </w:numPr>
      </w:pPr>
      <w:r>
        <w:t xml:space="preserve">PEOs published, with a documented mission–PEO matrix.</w:t>
      </w:r>
    </w:p>
    <w:p>
      <w:pPr>
        <w:pStyle w:val="ListParagraph"/>
        <w:numPr>
          <w:ilvl w:val="0"/>
          <w:numId w:val="2"/>
        </w:numPr>
      </w:pPr>
      <w:r>
        <w:t xml:space="preserve">POs and PSOs published on the website and in the syllabus book.</w:t>
      </w:r>
    </w:p>
    <w:p>
      <w:pPr>
        <w:pStyle w:val="ListParagraph"/>
        <w:numPr>
          <w:ilvl w:val="0"/>
          <w:numId w:val="2"/>
        </w:numPr>
      </w:pPr>
      <w:r>
        <w:t xml:space="preserve">4–6 COs per course, printed in the syllabus and question paper.</w:t>
      </w:r>
    </w:p>
    <w:p>
      <w:pPr>
        <w:pStyle w:val="ListParagraph"/>
        <w:numPr>
          <w:ilvl w:val="0"/>
          <w:numId w:val="2"/>
        </w:numPr>
      </w:pPr>
      <w:r>
        <w:t xml:space="preserve">CO–PO and CO–PSO articulation matrices for every course, with justification notes.</w:t>
      </w:r>
    </w:p>
    <w:p>
      <w:pPr>
        <w:pStyle w:val="ListParagraph"/>
        <w:numPr>
          <w:ilvl w:val="0"/>
          <w:numId w:val="2"/>
        </w:numPr>
      </w:pPr>
      <w:r>
        <w:t xml:space="preserve">Question papers carrying CO and Bloom tags for each question.</w:t>
      </w:r>
    </w:p>
    <w:p>
      <w:pPr>
        <w:pStyle w:val="ListParagraph"/>
        <w:numPr>
          <w:ilvl w:val="0"/>
          <w:numId w:val="2"/>
        </w:numPr>
      </w:pPr>
      <w:r>
        <w:t xml:space="preserve">Question-paper blueprint showing CO-wise mark weightage against targets.</w:t>
      </w:r>
    </w:p>
    <w:p>
      <w:pPr>
        <w:pStyle w:val="ListParagraph"/>
        <w:numPr>
          <w:ilvl w:val="0"/>
          <w:numId w:val="2"/>
        </w:numPr>
      </w:pPr>
      <w:r>
        <w:t xml:space="preserve">CO attainment sheets: internal, external, and indirect, per course per semester.</w:t>
      </w:r>
    </w:p>
    <w:p>
      <w:pPr>
        <w:pStyle w:val="ListParagraph"/>
        <w:numPr>
          <w:ilvl w:val="0"/>
          <w:numId w:val="2"/>
        </w:numPr>
      </w:pPr>
      <w:r>
        <w:t xml:space="preserve">PO attainment roll-up for the programme.</w:t>
      </w:r>
    </w:p>
    <w:p>
      <w:pPr>
        <w:pStyle w:val="ListParagraph"/>
        <w:numPr>
          <w:ilvl w:val="0"/>
          <w:numId w:val="2"/>
        </w:numPr>
      </w:pPr>
      <w:r>
        <w:t xml:space="preserve">Gap analysis with recorded corrective actions and evidence of closure in the next cycle.</w:t>
      </w:r>
    </w:p>
    <w:p>
      <w:pPr>
        <w:pStyle w:val="ListParagraph"/>
        <w:numPr>
          <w:ilvl w:val="0"/>
          <w:numId w:val="2"/>
        </w:numPr>
      </w:pPr>
      <w:r>
        <w:t xml:space="preserve">IQAC minutes discussing attainment results.</w:t>
      </w:r>
    </w:p>
    <w:p>
      <w:pPr>
        <w:pStyle w:val="Heading1"/>
      </w:pPr>
      <w:r>
        <w:t xml:space="preserve">13. Common Pitfalls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Pitfall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Correction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Every CO mapped to every PO with a 3.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Map only where the CO is actually taught and assessed; 2–4 strong POs per CO.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COs written with 'understand' or 'know'.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Use measurable Bloom verbs tied to an assessment method.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Question papers with no CO tag.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Tag every question with CO and Bloom level at the paper-setting stage.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Attainment computed but never used.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Record corrective action in IQAC minutes and show its effect in the next cycle.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Only L1 and L2 questions in the paper.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Ensure a planned share of L3 and above; a design CO must have an L5/L6 question.</w:t>
            </w:r>
          </w:p>
        </w:tc>
      </w:tr>
      <w:tr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Different CO lists in the syllabus, paper and attainment sheet.</w:t>
            </w:r>
          </w:p>
        </w:tc>
        <w:tc>
          <w:tcPr>
            <w:tcW w:type="dxa" w:w="46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Maintain one master CO list and reference it everywhere.</w:t>
            </w:r>
          </w:p>
        </w:tc>
      </w:tr>
    </w:tbl>
    <w:p>
      <w:pPr>
        <w:pStyle w:val="Heading1"/>
      </w:pPr>
      <w:r>
        <w:t xml:space="preserve">14. Summary 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000"/>
        <w:gridCol w:w="3160"/>
        <w:gridCol w:w="3000"/>
      </w:tblGrid>
      <w:tr>
        <w:trPr>
          <w:tblHeader/>
        </w:trP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Measured When</w:t>
            </w:r>
          </w:p>
        </w:tc>
        <w:tc>
          <w:tcPr>
            <w:tcW w:type="dxa" w:w="3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Scope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Mapped To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PEO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3–5 years after graduation</w:t>
            </w:r>
          </w:p>
        </w:tc>
        <w:tc>
          <w:tcPr>
            <w:tcW w:type="dxa" w:w="3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Career accomplishments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Mission, POs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At graduation</w:t>
            </w:r>
          </w:p>
        </w:tc>
        <w:tc>
          <w:tcPr>
            <w:tcW w:type="dxa" w:w="3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Broad graduate attributes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PEOs, COs, PSOs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PSO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At graduation</w:t>
            </w:r>
          </w:p>
        </w:tc>
        <w:tc>
          <w:tcPr>
            <w:tcW w:type="dxa" w:w="3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Domain-specific ability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POs, COs, PEOs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End of course</w:t>
            </w:r>
          </w:p>
        </w:tc>
        <w:tc>
          <w:tcPr>
            <w:tcW w:type="dxa" w:w="3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Course-specific learning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POs and PSOs</w:t>
            </w:r>
          </w:p>
        </w:tc>
      </w:tr>
    </w:tbl>
    <w:p>
      <w:pPr>
        <w:spacing w:after="120"/>
      </w:pPr>
      <w:r>
        <w:t xml:space="preserve"/>
      </w:r>
    </w:p>
    <w:p>
      <w:r>
        <w:rPr>
          <w:b/>
          <w:bCs/>
          <w:color w:val="1F3864"/>
        </w:rPr>
        <w:t xml:space="preserve">The complete chain, verifiable end to end: Mission → PEO → PO/PSO → CO → Question → Marks → CO Attainment → PO Attainment → Gap Analysis → Curriculum Revision.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OBE for NAAC — 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cs="Arial" w:eastAsia="Arial" w:hAnsi="Arial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549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2026-07-31T14:44:35.238Z</dcterms:created>
  <dcterms:modified xsi:type="dcterms:W3CDTF">2026-07-31T14:44:35.238Z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