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Eyebrow"/>
      </w:pPr>
      <w:r>
        <w:t xml:space="preserve">Concept Note &amp; Project Blueprint</w:t>
      </w:r>
    </w:p>
    <w:p>
      <w:pPr>
        <w:pStyle w:val="Title"/>
      </w:pPr>
      <w:r>
        <w:t xml:space="preserve">National Level Dashboard for Higher Educational Institutions</w:t>
      </w:r>
    </w:p>
    <w:p>
      <w:pPr>
        <w:pStyle w:val="Subtitle"/>
      </w:pPr>
      <w:r>
        <w:t xml:space="preserve">Integrated Academic Operations, Analytics and NAAC Accreditation Reporting Platform (AQAR &amp; SSR)</w:t>
      </w:r>
    </w:p>
    <w:sdt>
      <w:sdtPr>
        <w:alias w:val="Contents"/>
      </w:sdtPr>
      <w:sdtContent>
        <w:p>
          <w:r>
            <w:fldChar w:fldCharType="begin" w:dirty="true"/>
            <w:instrText xml:space="preserve">TOC \h \o "1-3"</w:instrText>
            <w:fldChar w:fldCharType="separate"/>
          </w:r>
        </w:p>
        <w:p>
          <w:r>
            <w:fldChar w:fldCharType="end"/>
          </w:r>
        </w:p>
      </w:sdtContent>
    </w:sdt>
    <w:p>
      <w:pPr>
        <w:pStyle w:val="Heading1"/>
      </w:pPr>
      <w:r>
        <w:t xml:space="preserve">1 · Executive Summary</w:t>
      </w:r>
    </w:p>
    <w:p>
      <w:r>
        <w:t xml:space="preserve">This blueprint defines a national-level dashboard and reporting platform for Higher Educational Institutions (HEIs) in India, spanning the complete academic lifecycle — admissions (UG/PG), curriculum and syllabus, faculty scheduling and workload, teaching-learning delivery, LMS activity (quizzes, tests, assignments, seminars, discussions, practicals), internal and terminal examinations, grading, pass rates and student-teacher ratios.</w:t>
      </w:r>
    </w:p>
    <w:p>
      <w:r>
        <w:t xml:space="preserve">The platform is designed on a single principle: every data point is captured once at its operational source and reused for institutional dashboards, management KPIs, and statutory accreditation reporting — principally the Annual Quality Assurance Report (AQAR) and the Self Study Report (SSR) submitted to the National Assessment and Accreditation Council (NAAC).</w:t>
      </w:r>
    </w:p>
    <w:p>
      <w:r>
        <w:t xml:space="preserve">The platform has four layers: (a) operational systems that run day-to-day academic work, (b) a central academic data hub, (c) management and progress dashboards, and (d) an accreditation engine that maps verified data to NAAC's criteria and auto-drafts AQAR/SSR content for institutional review and submission.</w:t>
      </w:r>
    </w:p>
    <w:p>
      <w:pPr>
        <w:pStyle w:val="Heading1"/>
      </w:pPr>
      <w:r>
        <w:t xml:space="preserve">2 · Clarification on the NAAC Criteria Structure</w:t>
      </w:r>
    </w:p>
    <w:p>
      <w:r>
        <w:t xml:space="preserve">The brief references “10 criteria designed by NAAC.” This blueprint is built on the criteria structure currently in force, which is important to state precisely so the reporting engine is aligned to the correct framework:</w:t>
      </w:r>
    </w:p>
    <w:p>
      <w:pPr>
        <w:pStyle w:val="ListParagraph"/>
        <w:numPr>
          <w:ilvl w:val="0"/>
          <w:numId w:val="1"/>
        </w:numPr>
      </w:pPr>
      <w:r>
        <w:t xml:space="preserve">NAAC's institutional assessment is organised under SEVEN (7) criteria, not ten — covering Curricular Aspects; Teaching-Learning and Evaluation; Research, Innovations and Extension; Infrastructure and Learning Resources; Student Support and Progression; Governance, Leadership and Management; and Institutional Values and Best Practices.</w:t>
      </w:r>
    </w:p>
    <w:p>
      <w:pPr>
        <w:pStyle w:val="ListParagraph"/>
        <w:numPr>
          <w:ilvl w:val="0"/>
          <w:numId w:val="1"/>
        </w:numPr>
      </w:pPr>
      <w:r>
        <w:t xml:space="preserve">An Extended Profile (institutional statistics such as sanctioned posts, student strength, programmes offered, and expenditure) supplements the seven criteria and feeds several quantitative metrics.</w:t>
      </w:r>
    </w:p>
    <w:p>
      <w:pPr>
        <w:pStyle w:val="ListParagraph"/>
        <w:numPr>
          <w:ilvl w:val="0"/>
          <w:numId w:val="1"/>
        </w:numPr>
      </w:pPr>
      <w:r>
        <w:t xml:space="preserve">Since 10 February 2025, NAAC operates a revised Binary + Maturity-Based Graded Level (MBGL) framework under Data Capture Format (DCF) 2025, which changes how metrics are scored (binary compliance filters + graded maturity levels) without changing the count of criteria.</w:t>
      </w:r>
    </w:p>
    <w:p>
      <w:r>
        <w:t xml:space="preserve">Because NAAC periodically revises its manual, weightages and metric wording across accreditation cycles, the recommended design principle is to load the criteria, metrics and their weightages as a configurable catalog in the platform rather than hard-coding “10” or any fixed count — so a future NAAC revision requires a data update, not a system rebuild.</w:t>
      </w:r>
    </w:p>
    <w:p>
      <w:pPr>
        <w:pStyle w:val="Heading1"/>
      </w:pPr>
      <w:r>
        <w:t xml:space="preserve">3 · Objectives and Scope</w:t>
      </w:r>
    </w:p>
    <w:p>
      <w:pPr>
        <w:pStyle w:val="Heading2"/>
      </w:pPr>
      <w:r>
        <w:t xml:space="preserve">3.1 Objectives</w:t>
      </w:r>
    </w:p>
    <w:p>
      <w:pPr>
        <w:pStyle w:val="ListParagraph"/>
        <w:numPr>
          <w:ilvl w:val="0"/>
          <w:numId w:val="2"/>
        </w:numPr>
      </w:pPr>
      <w:r>
        <w:t xml:space="preserve">Digitise and unify the complete academic lifecycle from admission to graduation across UG and PG programmes.</w:t>
      </w:r>
    </w:p>
    <w:p>
      <w:pPr>
        <w:pStyle w:val="ListParagraph"/>
        <w:numPr>
          <w:ilvl w:val="0"/>
          <w:numId w:val="2"/>
        </w:numPr>
      </w:pPr>
      <w:r>
        <w:t xml:space="preserve">Provide real-time operational and management dashboards at national, state, university, institution, department and programme levels.</w:t>
      </w:r>
    </w:p>
    <w:p>
      <w:pPr>
        <w:pStyle w:val="ListParagraph"/>
        <w:numPr>
          <w:ilvl w:val="0"/>
          <w:numId w:val="2"/>
        </w:numPr>
      </w:pPr>
      <w:r>
        <w:t xml:space="preserve">Continuously capture accreditation-relevant evidence so AQAR and SSR are generated from verified live data rather than reconstructed at the last moment.</w:t>
      </w:r>
    </w:p>
    <w:p>
      <w:pPr>
        <w:pStyle w:val="ListParagraph"/>
        <w:numPr>
          <w:ilvl w:val="0"/>
          <w:numId w:val="2"/>
        </w:numPr>
      </w:pPr>
      <w:r>
        <w:t xml:space="preserve">Standardise KPIs — pass rate, student-teacher ratio, syllabus coverage, LMS engagement, result trends — for consistent national benchmarking.</w:t>
      </w:r>
    </w:p>
    <w:p>
      <w:pPr>
        <w:pStyle w:val="ListParagraph"/>
        <w:numPr>
          <w:ilvl w:val="0"/>
          <w:numId w:val="2"/>
        </w:numPr>
      </w:pPr>
      <w:r>
        <w:t xml:space="preserve">Provide workflow, approval and audit-trail controls so every reported figure is traceable to its source and owner.</w:t>
      </w:r>
    </w:p>
    <w:p>
      <w:pPr>
        <w:pStyle w:val="Heading2"/>
      </w:pPr>
      <w:r>
        <w:t xml:space="preserve">3.2 In-scope Functional Areas</w:t>
      </w:r>
    </w:p>
    <w:p>
      <w:pPr>
        <w:pStyle w:val="ListParagraph"/>
        <w:numPr>
          <w:ilvl w:val="0"/>
          <w:numId w:val="1"/>
        </w:numPr>
      </w:pPr>
      <w:r>
        <w:t xml:space="preserve">Admissions — UG and PG, application to enrollment</w:t>
      </w:r>
    </w:p>
    <w:p>
      <w:pPr>
        <w:pStyle w:val="ListParagraph"/>
        <w:numPr>
          <w:ilvl w:val="0"/>
          <w:numId w:val="1"/>
        </w:numPr>
      </w:pPr>
      <w:r>
        <w:t xml:space="preserve">Curriculum and syllabus, including outcome mapping (PO/PSO/CO)</w:t>
      </w:r>
    </w:p>
    <w:p>
      <w:pPr>
        <w:pStyle w:val="ListParagraph"/>
        <w:numPr>
          <w:ilvl w:val="0"/>
          <w:numId w:val="1"/>
        </w:numPr>
      </w:pPr>
      <w:r>
        <w:t xml:space="preserve">Faculty schedule, timetable and workload</w:t>
      </w:r>
    </w:p>
    <w:p>
      <w:pPr>
        <w:pStyle w:val="ListParagraph"/>
        <w:numPr>
          <w:ilvl w:val="0"/>
          <w:numId w:val="1"/>
        </w:numPr>
      </w:pPr>
      <w:r>
        <w:t xml:space="preserve">Teaching-learning process and lesson delivery tracking</w:t>
      </w:r>
    </w:p>
    <w:p>
      <w:pPr>
        <w:pStyle w:val="ListParagraph"/>
        <w:numPr>
          <w:ilvl w:val="0"/>
          <w:numId w:val="1"/>
        </w:numPr>
      </w:pPr>
      <w:r>
        <w:t xml:space="preserve">LMS: e-content, quizzes, tests, assignments, seminars, discussions</w:t>
      </w:r>
    </w:p>
    <w:p>
      <w:pPr>
        <w:pStyle w:val="ListParagraph"/>
        <w:numPr>
          <w:ilvl w:val="0"/>
          <w:numId w:val="1"/>
        </w:numPr>
      </w:pPr>
      <w:r>
        <w:t xml:space="preserve">Practical / laboratory records</w:t>
      </w:r>
    </w:p>
    <w:p>
      <w:pPr>
        <w:pStyle w:val="ListParagraph"/>
        <w:numPr>
          <w:ilvl w:val="0"/>
          <w:numId w:val="1"/>
        </w:numPr>
      </w:pPr>
      <w:r>
        <w:t xml:space="preserve">Internal (continuous) and external / terminal examinations</w:t>
      </w:r>
    </w:p>
    <w:p>
      <w:pPr>
        <w:pStyle w:val="ListParagraph"/>
        <w:numPr>
          <w:ilvl w:val="0"/>
          <w:numId w:val="1"/>
        </w:numPr>
      </w:pPr>
      <w:r>
        <w:t xml:space="preserve">Marks, scores, grades, class, pass rate computation</w:t>
      </w:r>
    </w:p>
    <w:p>
      <w:pPr>
        <w:pStyle w:val="ListParagraph"/>
        <w:numPr>
          <w:ilvl w:val="0"/>
          <w:numId w:val="1"/>
        </w:numPr>
      </w:pPr>
      <w:r>
        <w:t xml:space="preserve">Student-teacher ratio and faculty analytics</w:t>
      </w:r>
    </w:p>
    <w:p>
      <w:pPr>
        <w:pStyle w:val="ListParagraph"/>
        <w:numPr>
          <w:ilvl w:val="0"/>
          <w:numId w:val="1"/>
        </w:numPr>
      </w:pPr>
      <w:r>
        <w:t xml:space="preserve">AQAR and SSR generation mapped to NAAC's seven criteria</w:t>
      </w:r>
    </w:p>
    <w:p>
      <w:pPr>
        <w:pStyle w:val="ListParagraph"/>
        <w:numPr>
          <w:ilvl w:val="0"/>
          <w:numId w:val="1"/>
        </w:numPr>
      </w:pPr>
      <w:r>
        <w:t xml:space="preserve">Flow diagrams, workflow approvals and progress dashboards</w:t>
      </w:r>
    </w:p>
    <w:p>
      <w:pPr>
        <w:pStyle w:val="Heading1"/>
      </w:pPr>
      <w:r>
        <w:t xml:space="preserve">4 · Functional Modules</w:t>
      </w:r>
    </w:p>
    <w:p>
      <w:r>
        <w:t xml:space="preserve">The system is organised into ten functional modules feeding one central data hub.</w:t>
      </w:r>
    </w:p>
    <w:tbl>
      <w:tblPr>
        <w:tblW w:type="dxa" w:w="9360"/>
        <w:tblBorders>
          <w:top w:val="single" w:color="D7DBE3" w:sz="4"/>
          <w:left w:val="single" w:color="D7DBE3" w:sz="4"/>
          <w:bottom w:val="single" w:color="D7DBE3" w:sz="4"/>
          <w:right w:val="single" w:color="D7DBE3" w:sz="4"/>
          <w:insideH w:val="single" w:color="D7DBE3" w:sz="4"/>
          <w:insideV w:val="single" w:color="D7DBE3" w:sz="4"/>
        </w:tblBorders>
        <w:tblLayout w:type="fixed"/>
      </w:tblPr>
      <w:tblGrid>
        <w:gridCol w:w="2433"/>
        <w:gridCol w:w="4378"/>
        <w:gridCol w:w="2549"/>
      </w:tblGrid>
      <w:tr>
        <w:trPr>
          <w:tblHeader/>
        </w:trPr>
        <w:tc>
          <w:tcPr>
            <w:tcW w:type="dxa" w:w="2433"/>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Module</w:t>
            </w:r>
          </w:p>
        </w:tc>
        <w:tc>
          <w:tcPr>
            <w:tcW w:type="dxa" w:w="4378"/>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Purpose</w:t>
            </w:r>
          </w:p>
        </w:tc>
        <w:tc>
          <w:tcPr>
            <w:tcW w:type="dxa" w:w="2549"/>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Primary Users</w:t>
            </w:r>
          </w:p>
        </w:tc>
      </w:tr>
      <w:tr>
        <w:tc>
          <w:tcPr>
            <w:tcW w:type="dxa" w:w="2433"/>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Admissions</w:t>
            </w:r>
          </w:p>
        </w:tc>
        <w:tc>
          <w:tcPr>
            <w:tcW w:type="dxa" w:w="437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Application to enrollment for UG/PG</w:t>
            </w:r>
          </w:p>
        </w:tc>
        <w:tc>
          <w:tcPr>
            <w:tcW w:type="dxa" w:w="254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Admission office, Registrar</w:t>
            </w:r>
          </w:p>
        </w:tc>
      </w:tr>
      <w:tr>
        <w:tc>
          <w:tcPr>
            <w:tcW w:type="dxa" w:w="2433"/>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Curriculum &amp; Syllabus</w:t>
            </w:r>
          </w:p>
        </w:tc>
        <w:tc>
          <w:tcPr>
            <w:tcW w:type="dxa" w:w="437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Programme design, outcomes, syllabus versioning</w:t>
            </w:r>
          </w:p>
        </w:tc>
        <w:tc>
          <w:tcPr>
            <w:tcW w:type="dxa" w:w="254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Deans, HoDs, Faculty, BoS</w:t>
            </w:r>
          </w:p>
        </w:tc>
      </w:tr>
      <w:tr>
        <w:tc>
          <w:tcPr>
            <w:tcW w:type="dxa" w:w="2433"/>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Faculty &amp; Timetable</w:t>
            </w:r>
          </w:p>
        </w:tc>
        <w:tc>
          <w:tcPr>
            <w:tcW w:type="dxa" w:w="437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Workload allocation, scheduling, substitutions</w:t>
            </w:r>
          </w:p>
        </w:tc>
        <w:tc>
          <w:tcPr>
            <w:tcW w:type="dxa" w:w="254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HoD, Timetable Cell</w:t>
            </w:r>
          </w:p>
        </w:tc>
      </w:tr>
      <w:tr>
        <w:tc>
          <w:tcPr>
            <w:tcW w:type="dxa" w:w="2433"/>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Teaching-Learning Process</w:t>
            </w:r>
          </w:p>
        </w:tc>
        <w:tc>
          <w:tcPr>
            <w:tcW w:type="dxa" w:w="437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Lesson plans, delivery logs, attendance</w:t>
            </w:r>
          </w:p>
        </w:tc>
        <w:tc>
          <w:tcPr>
            <w:tcW w:type="dxa" w:w="254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Faculty, IQAC, HoD</w:t>
            </w:r>
          </w:p>
        </w:tc>
      </w:tr>
      <w:tr>
        <w:tc>
          <w:tcPr>
            <w:tcW w:type="dxa" w:w="2433"/>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LMS &amp; Continuous Learning</w:t>
            </w:r>
          </w:p>
        </w:tc>
        <w:tc>
          <w:tcPr>
            <w:tcW w:type="dxa" w:w="437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e-content, quizzes, assignments, discussions</w:t>
            </w:r>
          </w:p>
        </w:tc>
        <w:tc>
          <w:tcPr>
            <w:tcW w:type="dxa" w:w="254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Students, Faculty</w:t>
            </w:r>
          </w:p>
        </w:tc>
      </w:tr>
      <w:tr>
        <w:tc>
          <w:tcPr>
            <w:tcW w:type="dxa" w:w="2433"/>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Assessment &amp; Examinations</w:t>
            </w:r>
          </w:p>
        </w:tc>
        <w:tc>
          <w:tcPr>
            <w:tcW w:type="dxa" w:w="437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Internal, practical, terminal exams, grading</w:t>
            </w:r>
          </w:p>
        </w:tc>
        <w:tc>
          <w:tcPr>
            <w:tcW w:type="dxa" w:w="254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Exam Cell, Faculty</w:t>
            </w:r>
          </w:p>
        </w:tc>
      </w:tr>
      <w:tr>
        <w:tc>
          <w:tcPr>
            <w:tcW w:type="dxa" w:w="2433"/>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Performance Analytics</w:t>
            </w:r>
          </w:p>
        </w:tc>
        <w:tc>
          <w:tcPr>
            <w:tcW w:type="dxa" w:w="437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Result analysis, trends, progression</w:t>
            </w:r>
          </w:p>
        </w:tc>
        <w:tc>
          <w:tcPr>
            <w:tcW w:type="dxa" w:w="254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Principal, IQAC, Management</w:t>
            </w:r>
          </w:p>
        </w:tc>
      </w:tr>
      <w:tr>
        <w:tc>
          <w:tcPr>
            <w:tcW w:type="dxa" w:w="2433"/>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Compliance &amp; Accreditation</w:t>
            </w:r>
          </w:p>
        </w:tc>
        <w:tc>
          <w:tcPr>
            <w:tcW w:type="dxa" w:w="437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AQAR, SSR, evidence repository</w:t>
            </w:r>
          </w:p>
        </w:tc>
        <w:tc>
          <w:tcPr>
            <w:tcW w:type="dxa" w:w="254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IQAC, NAAC Committee</w:t>
            </w:r>
          </w:p>
        </w:tc>
      </w:tr>
      <w:tr>
        <w:tc>
          <w:tcPr>
            <w:tcW w:type="dxa" w:w="2433"/>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Workflow &amp; Approvals</w:t>
            </w:r>
          </w:p>
        </w:tc>
        <w:tc>
          <w:tcPr>
            <w:tcW w:type="dxa" w:w="437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Draft-review-approve-publish</w:t>
            </w:r>
          </w:p>
        </w:tc>
        <w:tc>
          <w:tcPr>
            <w:tcW w:type="dxa" w:w="254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All roles</w:t>
            </w:r>
          </w:p>
        </w:tc>
      </w:tr>
      <w:tr>
        <w:tc>
          <w:tcPr>
            <w:tcW w:type="dxa" w:w="2433"/>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Reports &amp; Dashboards</w:t>
            </w:r>
          </w:p>
        </w:tc>
        <w:tc>
          <w:tcPr>
            <w:tcW w:type="dxa" w:w="437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National to department-level views</w:t>
            </w:r>
          </w:p>
        </w:tc>
        <w:tc>
          <w:tcPr>
            <w:tcW w:type="dxa" w:w="254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Regulators, Leadership</w:t>
            </w:r>
          </w:p>
        </w:tc>
      </w:tr>
    </w:tbl>
    <w:p>
      <w:pPr>
        <w:pStyle w:val="Heading1"/>
      </w:pPr>
      <w:r>
        <w:t xml:space="preserve">5 · System Architecture and Data Flow</w:t>
      </w:r>
    </w:p>
    <w:p>
      <w:r>
        <w:t xml:space="preserve">The architecture is a federated data model: each operational module owns its transactional data and publishes verified records to a Central Academic Data Hub. The hub is the single source from which dashboards, KPIs and the NAAC engine are all derived — avoiding duplicate entry of the same fact for different reports.</w:t>
      </w:r>
    </w:p>
    <w:p>
      <w:pPr>
        <w:pStyle w:val="Heading2"/>
      </w:pPr>
      <w:r>
        <w:t xml:space="preserve">5.1 High-level Data Flow</w:t>
      </w:r>
    </w:p>
    <w:p>
      <w:pPr>
        <w:pStyle w:val="ListParagraph"/>
        <w:numPr>
          <w:ilvl w:val="0"/>
          <w:numId w:val="2"/>
        </w:numPr>
      </w:pPr>
      <w:r>
        <w:t xml:space="preserve">Operational modules (Admissions, Curriculum, Faculty/Timetable, LMS, Examinations, Research/Support, HR/Finance) capture data at source.</w:t>
      </w:r>
    </w:p>
    <w:p>
      <w:pPr>
        <w:pStyle w:val="ListParagraph"/>
        <w:numPr>
          <w:ilvl w:val="0"/>
          <w:numId w:val="2"/>
        </w:numPr>
      </w:pPr>
      <w:r>
        <w:t xml:space="preserve">Each record passes validation rules and a maker-checker approval before it is published to the Central Academic Data Hub.</w:t>
      </w:r>
    </w:p>
    <w:p>
      <w:pPr>
        <w:pStyle w:val="ListParagraph"/>
        <w:numPr>
          <w:ilvl w:val="0"/>
          <w:numId w:val="2"/>
        </w:numPr>
      </w:pPr>
      <w:r>
        <w:t xml:space="preserve">The Hub computes derived KPIs (pass rate, student-teacher ratio, syllabus coverage, LMS engagement, etc.) on a defined refresh cycle.</w:t>
      </w:r>
    </w:p>
    <w:p>
      <w:pPr>
        <w:pStyle w:val="ListParagraph"/>
        <w:numPr>
          <w:ilvl w:val="0"/>
          <w:numId w:val="2"/>
        </w:numPr>
      </w:pPr>
      <w:r>
        <w:t xml:space="preserve">Operational dashboards and Management KPI dashboards read from the Hub for real-time institutional and national views.</w:t>
      </w:r>
    </w:p>
    <w:p>
      <w:pPr>
        <w:pStyle w:val="ListParagraph"/>
        <w:numPr>
          <w:ilvl w:val="0"/>
          <w:numId w:val="2"/>
        </w:numPr>
      </w:pPr>
      <w:r>
        <w:t xml:space="preserve">The NAAC Engine maps Hub records to criterion-wise metrics, attaches evidence documents, and auto-drafts AQAR and SSR content.</w:t>
      </w:r>
    </w:p>
    <w:p>
      <w:pPr>
        <w:pStyle w:val="ListParagraph"/>
        <w:numPr>
          <w:ilvl w:val="0"/>
          <w:numId w:val="2"/>
        </w:numPr>
      </w:pPr>
      <w:r>
        <w:t xml:space="preserve">IQAC reviews, edits narrative, and locks the criterion-wise report for final submission to NAAC.</w:t>
      </w:r>
    </w:p>
    <w:p>
      <w:pPr>
        <w:pStyle w:val="Heading2"/>
      </w:pPr>
      <w:r>
        <w:t xml:space="preserve">5.2 Workflow / Approval Flow</w:t>
      </w:r>
    </w:p>
    <w:p>
      <w:pPr>
        <w:pStyle w:val="ListParagraph"/>
        <w:numPr>
          <w:ilvl w:val="0"/>
          <w:numId w:val="2"/>
        </w:numPr>
      </w:pPr>
      <w:r>
        <w:t xml:space="preserve">Draft — data or evidence entered by the responsible owner.</w:t>
      </w:r>
    </w:p>
    <w:p>
      <w:pPr>
        <w:pStyle w:val="ListParagraph"/>
        <w:numPr>
          <w:ilvl w:val="0"/>
          <w:numId w:val="2"/>
        </w:numPr>
      </w:pPr>
      <w:r>
        <w:t xml:space="preserve">Submitted — sent for review.</w:t>
      </w:r>
    </w:p>
    <w:p>
      <w:pPr>
        <w:pStyle w:val="ListParagraph"/>
        <w:numPr>
          <w:ilvl w:val="0"/>
          <w:numId w:val="2"/>
        </w:numPr>
      </w:pPr>
      <w:r>
        <w:t xml:space="preserve">Under Review — checked by HoD / IQAC coordinator.</w:t>
      </w:r>
    </w:p>
    <w:p>
      <w:pPr>
        <w:pStyle w:val="ListParagraph"/>
        <w:numPr>
          <w:ilvl w:val="0"/>
          <w:numId w:val="2"/>
        </w:numPr>
      </w:pPr>
      <w:r>
        <w:t xml:space="preserve">Correction Requested — returned with comments if incomplete.</w:t>
      </w:r>
    </w:p>
    <w:p>
      <w:pPr>
        <w:pStyle w:val="ListParagraph"/>
        <w:numPr>
          <w:ilvl w:val="0"/>
          <w:numId w:val="2"/>
        </w:numPr>
      </w:pPr>
      <w:r>
        <w:t xml:space="preserve">Approved — verified and accepted into the reporting dataset.</w:t>
      </w:r>
    </w:p>
    <w:p>
      <w:pPr>
        <w:pStyle w:val="ListParagraph"/>
        <w:numPr>
          <w:ilvl w:val="0"/>
          <w:numId w:val="2"/>
        </w:numPr>
      </w:pPr>
      <w:r>
        <w:t xml:space="preserve">Locked for Reporting — frozen for the relevant AQAR/SSR cycle.</w:t>
      </w:r>
    </w:p>
    <w:p>
      <w:pPr>
        <w:pStyle w:val="ListParagraph"/>
        <w:numPr>
          <w:ilvl w:val="0"/>
          <w:numId w:val="2"/>
        </w:numPr>
      </w:pPr>
      <w:r>
        <w:t xml:space="preserve">Archived — retained with full audit trail for future reference.</w:t>
      </w:r>
    </w:p>
    <w:p>
      <w:r>
        <w:t xml:space="preserve">This sequential flow (Draft → Submitted → Review → Correction → Approved → Locked → Archived) should be rendered as a visual flow diagram in the final presentation deck; it is described procedurally here to keep this document text-navigable and print-stable.</w:t>
      </w:r>
    </w:p>
    <w:p>
      <w:pPr>
        <w:pStyle w:val="Heading1"/>
      </w:pPr>
      <w:r>
        <w:t xml:space="preserve">6 · Master Data Model</w:t>
      </w:r>
    </w:p>
    <w:p>
      <w:pPr>
        <w:pStyle w:val="Heading2"/>
      </w:pPr>
      <w:r>
        <w:t xml:space="preserve">6.1 Master Entities</w:t>
      </w:r>
    </w:p>
    <w:p>
      <w:pPr>
        <w:pStyle w:val="ListParagraph"/>
        <w:numPr>
          <w:ilvl w:val="0"/>
          <w:numId w:val="1"/>
        </w:numPr>
      </w:pPr>
      <w:r>
        <w:t xml:space="preserve">Institution, Campus, Department, Programme, Course, Academic Year, Semester, Section</w:t>
      </w:r>
    </w:p>
    <w:p>
      <w:pPr>
        <w:pStyle w:val="ListParagraph"/>
        <w:numPr>
          <w:ilvl w:val="0"/>
          <w:numId w:val="1"/>
        </w:numPr>
      </w:pPr>
      <w:r>
        <w:t xml:space="preserve">Regulation / Syllabus Version, Faculty, Student</w:t>
      </w:r>
    </w:p>
    <w:p>
      <w:pPr>
        <w:pStyle w:val="ListParagraph"/>
        <w:numPr>
          <w:ilvl w:val="0"/>
          <w:numId w:val="1"/>
        </w:numPr>
      </w:pPr>
      <w:r>
        <w:t xml:space="preserve">Assessment Component, Examination Session</w:t>
      </w:r>
    </w:p>
    <w:p>
      <w:pPr>
        <w:pStyle w:val="ListParagraph"/>
        <w:numPr>
          <w:ilvl w:val="0"/>
          <w:numId w:val="1"/>
        </w:numPr>
      </w:pPr>
      <w:r>
        <w:t xml:space="preserve">Accreditation Cycle, NAAC Criterion, NAAC Metric, Evidence Document</w:t>
      </w:r>
    </w:p>
    <w:p>
      <w:pPr>
        <w:pStyle w:val="Heading2"/>
      </w:pPr>
      <w:r>
        <w:t xml:space="preserve">6.2 Transactional Entities</w:t>
      </w:r>
    </w:p>
    <w:p>
      <w:pPr>
        <w:pStyle w:val="ListParagraph"/>
        <w:numPr>
          <w:ilvl w:val="0"/>
          <w:numId w:val="1"/>
        </w:numPr>
      </w:pPr>
      <w:r>
        <w:t xml:space="preserve">Applications, Enrollments, Attendance</w:t>
      </w:r>
    </w:p>
    <w:p>
      <w:pPr>
        <w:pStyle w:val="ListParagraph"/>
        <w:numPr>
          <w:ilvl w:val="0"/>
          <w:numId w:val="1"/>
        </w:numPr>
      </w:pPr>
      <w:r>
        <w:t xml:space="preserve">Lesson Delivery Logs, LMS Activity Logs</w:t>
      </w:r>
    </w:p>
    <w:p>
      <w:pPr>
        <w:pStyle w:val="ListParagraph"/>
        <w:numPr>
          <w:ilvl w:val="0"/>
          <w:numId w:val="1"/>
        </w:numPr>
      </w:pPr>
      <w:r>
        <w:t xml:space="preserve">Assignment Submissions, Quiz/Test Scores, Seminar and Practical Records</w:t>
      </w:r>
    </w:p>
    <w:p>
      <w:pPr>
        <w:pStyle w:val="ListParagraph"/>
        <w:numPr>
          <w:ilvl w:val="0"/>
          <w:numId w:val="1"/>
        </w:numPr>
      </w:pPr>
      <w:r>
        <w:t xml:space="preserve">Internal Marks, External Marks, Final Grade Records</w:t>
      </w:r>
    </w:p>
    <w:p>
      <w:pPr>
        <w:pStyle w:val="ListParagraph"/>
        <w:numPr>
          <w:ilvl w:val="0"/>
          <w:numId w:val="1"/>
        </w:numPr>
      </w:pPr>
      <w:r>
        <w:t xml:space="preserve">Faculty Workload, Timetable Slots</w:t>
      </w:r>
    </w:p>
    <w:p>
      <w:pPr>
        <w:pStyle w:val="ListParagraph"/>
        <w:numPr>
          <w:ilvl w:val="0"/>
          <w:numId w:val="1"/>
        </w:numPr>
      </w:pPr>
      <w:r>
        <w:t xml:space="preserve">Approvals, Review Comments, Evidence Attachments</w:t>
      </w:r>
    </w:p>
    <w:p>
      <w:pPr>
        <w:pStyle w:val="Heading1"/>
      </w:pPr>
      <w:r>
        <w:t xml:space="preserve">7 · KPI Framework</w:t>
      </w:r>
    </w:p>
    <w:p>
      <w:r>
        <w:t xml:space="preserve">KPIs are grouped into four bands so the same underlying data serves both institutional management and accreditation reporting.</w:t>
      </w:r>
    </w:p>
    <w:p>
      <w:pPr>
        <w:pStyle w:val="Heading2"/>
      </w:pPr>
      <w:r>
        <w:t xml:space="preserve">7.1 Access and Admissions</w:t>
      </w:r>
    </w:p>
    <w:p>
      <w:pPr>
        <w:pStyle w:val="ListParagraph"/>
        <w:numPr>
          <w:ilvl w:val="0"/>
          <w:numId w:val="1"/>
        </w:numPr>
      </w:pPr>
      <w:r>
        <w:t xml:space="preserve">Sanctioned intake, applications received, admissions confirmed, seat occupancy</w:t>
      </w:r>
    </w:p>
    <w:p>
      <w:pPr>
        <w:pStyle w:val="ListParagraph"/>
        <w:numPr>
          <w:ilvl w:val="0"/>
          <w:numId w:val="1"/>
        </w:numPr>
      </w:pPr>
      <w:r>
        <w:t xml:space="preserve">Gender parity, reservation-category mix, regional/state-wise diversity</w:t>
      </w:r>
    </w:p>
    <w:p>
      <w:pPr>
        <w:pStyle w:val="Heading2"/>
      </w:pPr>
      <w:r>
        <w:t xml:space="preserve">7.2 Academic Delivery</w:t>
      </w:r>
    </w:p>
    <w:p>
      <w:pPr>
        <w:pStyle w:val="ListParagraph"/>
        <w:numPr>
          <w:ilvl w:val="0"/>
          <w:numId w:val="1"/>
        </w:numPr>
      </w:pPr>
      <w:r>
        <w:t xml:space="preserve">Classes planned vs. delivered, timetable adherence, syllabus coverage</w:t>
      </w:r>
    </w:p>
    <w:p>
      <w:pPr>
        <w:pStyle w:val="ListParagraph"/>
        <w:numPr>
          <w:ilvl w:val="0"/>
          <w:numId w:val="1"/>
        </w:numPr>
      </w:pPr>
      <w:r>
        <w:t xml:space="preserve">Faculty workload completion, practical coverage, LMS adoption</w:t>
      </w:r>
    </w:p>
    <w:p>
      <w:pPr>
        <w:pStyle w:val="ListParagraph"/>
        <w:numPr>
          <w:ilvl w:val="0"/>
          <w:numId w:val="1"/>
        </w:numPr>
      </w:pPr>
      <w:r>
        <w:t xml:space="preserve">Assignment completion rate, quiz participation rate, seminar/discussion activity</w:t>
      </w:r>
    </w:p>
    <w:p>
      <w:pPr>
        <w:pStyle w:val="Heading2"/>
      </w:pPr>
      <w:r>
        <w:t xml:space="preserve">7.3 Student Performance</w:t>
      </w:r>
    </w:p>
    <w:p>
      <w:pPr>
        <w:pStyle w:val="ListParagraph"/>
        <w:numPr>
          <w:ilvl w:val="0"/>
          <w:numId w:val="1"/>
        </w:numPr>
      </w:pPr>
      <w:r>
        <w:t xml:space="preserve">Attendance percentage, internal vs. external score average</w:t>
      </w:r>
    </w:p>
    <w:p>
      <w:pPr>
        <w:pStyle w:val="ListParagraph"/>
        <w:numPr>
          <w:ilvl w:val="0"/>
          <w:numId w:val="1"/>
        </w:numPr>
      </w:pPr>
      <w:r>
        <w:t xml:space="preserve">Pass percentage, grade and class distribution, backlog rate</w:t>
      </w:r>
    </w:p>
    <w:p>
      <w:pPr>
        <w:pStyle w:val="ListParagraph"/>
        <w:numPr>
          <w:ilvl w:val="0"/>
          <w:numId w:val="1"/>
        </w:numPr>
      </w:pPr>
      <w:r>
        <w:t xml:space="preserve">Progression rate, dropout rate, student-teacher ratio</w:t>
      </w:r>
    </w:p>
    <w:p>
      <w:pPr>
        <w:pStyle w:val="Heading2"/>
      </w:pPr>
      <w:r>
        <w:t xml:space="preserve">7.4 Accreditation Readiness</w:t>
      </w:r>
    </w:p>
    <w:p>
      <w:pPr>
        <w:pStyle w:val="ListParagraph"/>
        <w:numPr>
          <w:ilvl w:val="0"/>
          <w:numId w:val="1"/>
        </w:numPr>
      </w:pPr>
      <w:r>
        <w:t xml:space="preserve">Metric completion percentage, evidence-uploaded percentage</w:t>
      </w:r>
    </w:p>
    <w:p>
      <w:pPr>
        <w:pStyle w:val="ListParagraph"/>
        <w:numPr>
          <w:ilvl w:val="0"/>
          <w:numId w:val="1"/>
        </w:numPr>
      </w:pPr>
      <w:r>
        <w:t xml:space="preserve">Pending approvals, missing data points</w:t>
      </w:r>
    </w:p>
    <w:p>
      <w:pPr>
        <w:pStyle w:val="ListParagraph"/>
        <w:numPr>
          <w:ilvl w:val="0"/>
          <w:numId w:val="1"/>
        </w:numPr>
      </w:pPr>
      <w:r>
        <w:t xml:space="preserve">Criterion-wise readiness score, AQAR/SSR completion status</w:t>
      </w:r>
    </w:p>
    <w:p>
      <w:pPr>
        <w:pStyle w:val="Heading1"/>
      </w:pPr>
      <w:r>
        <w:t xml:space="preserve">8 · NAAC Criteria Mapping (Seven Criteria)</w:t>
      </w:r>
    </w:p>
    <w:p>
      <w:r>
        <w:t xml:space="preserve">Every reported figure should trace back to one or more of the seven criteria below plus the Extended Profile, so AQAR/SSR content is generated rather than manually reconstructed.</w:t>
      </w:r>
    </w:p>
    <w:tbl>
      <w:tblPr>
        <w:tblW w:type="dxa" w:w="9360"/>
        <w:tblBorders>
          <w:top w:val="single" w:color="D7DBE3" w:sz="4"/>
          <w:left w:val="single" w:color="D7DBE3" w:sz="4"/>
          <w:bottom w:val="single" w:color="D7DBE3" w:sz="4"/>
          <w:right w:val="single" w:color="D7DBE3" w:sz="4"/>
          <w:insideH w:val="single" w:color="D7DBE3" w:sz="4"/>
          <w:insideV w:val="single" w:color="D7DBE3" w:sz="4"/>
        </w:tblBorders>
        <w:tblLayout w:type="fixed"/>
      </w:tblPr>
      <w:tblGrid>
        <w:gridCol w:w="2741"/>
        <w:gridCol w:w="3837"/>
        <w:gridCol w:w="2782"/>
      </w:tblGrid>
      <w:tr>
        <w:trPr>
          <w:tblHeader/>
        </w:trPr>
        <w:tc>
          <w:tcPr>
            <w:tcW w:type="dxa" w:w="2741"/>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Criterion</w:t>
            </w:r>
          </w:p>
        </w:tc>
        <w:tc>
          <w:tcPr>
            <w:tcW w:type="dxa" w:w="3837"/>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Focus Area</w:t>
            </w:r>
          </w:p>
        </w:tc>
        <w:tc>
          <w:tcPr>
            <w:tcW w:type="dxa" w:w="2782"/>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Primary Data Sources</w:t>
            </w:r>
          </w:p>
        </w:tc>
      </w:tr>
      <w:tr>
        <w:tc>
          <w:tcPr>
            <w:tcW w:type="dxa" w:w="274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1. Curricular Aspects</w:t>
            </w:r>
          </w:p>
        </w:tc>
        <w:tc>
          <w:tcPr>
            <w:tcW w:type="dxa" w:w="3837"/>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Curriculum design, flexibility, feedback, outcomes</w:t>
            </w:r>
          </w:p>
        </w:tc>
        <w:tc>
          <w:tcPr>
            <w:tcW w:type="dxa" w:w="2782"/>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Curriculum &amp; Syllabus module, BoS records</w:t>
            </w:r>
          </w:p>
        </w:tc>
      </w:tr>
      <w:tr>
        <w:tc>
          <w:tcPr>
            <w:tcW w:type="dxa" w:w="274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2. Teaching-Learning &amp; Evaluation</w:t>
            </w:r>
          </w:p>
        </w:tc>
        <w:tc>
          <w:tcPr>
            <w:tcW w:type="dxa" w:w="3837"/>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Admission profile, teacher quality, process, evaluation</w:t>
            </w:r>
          </w:p>
        </w:tc>
        <w:tc>
          <w:tcPr>
            <w:tcW w:type="dxa" w:w="2782"/>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Admissions, Faculty, LMS, Examinations</w:t>
            </w:r>
          </w:p>
        </w:tc>
      </w:tr>
      <w:tr>
        <w:tc>
          <w:tcPr>
            <w:tcW w:type="dxa" w:w="274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3. Research, Innovations &amp; Extension</w:t>
            </w:r>
          </w:p>
        </w:tc>
        <w:tc>
          <w:tcPr>
            <w:tcW w:type="dxa" w:w="3837"/>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Publications, projects, extension activities</w:t>
            </w:r>
          </w:p>
        </w:tc>
        <w:tc>
          <w:tcPr>
            <w:tcW w:type="dxa" w:w="2782"/>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Research &amp; Extension module</w:t>
            </w:r>
          </w:p>
        </w:tc>
      </w:tr>
      <w:tr>
        <w:tc>
          <w:tcPr>
            <w:tcW w:type="dxa" w:w="274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4. Infrastructure &amp; Learning Resources</w:t>
            </w:r>
          </w:p>
        </w:tc>
        <w:tc>
          <w:tcPr>
            <w:tcW w:type="dxa" w:w="3837"/>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Labs, library, ICT, LMS infrastructure usage</w:t>
            </w:r>
          </w:p>
        </w:tc>
        <w:tc>
          <w:tcPr>
            <w:tcW w:type="dxa" w:w="2782"/>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Infrastructure module, LMS logs</w:t>
            </w:r>
          </w:p>
        </w:tc>
      </w:tr>
      <w:tr>
        <w:tc>
          <w:tcPr>
            <w:tcW w:type="dxa" w:w="274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5. Student Support &amp; Progression</w:t>
            </w:r>
          </w:p>
        </w:tc>
        <w:tc>
          <w:tcPr>
            <w:tcW w:type="dxa" w:w="3837"/>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Scholarships, mentoring, progression, placements</w:t>
            </w:r>
          </w:p>
        </w:tc>
        <w:tc>
          <w:tcPr>
            <w:tcW w:type="dxa" w:w="2782"/>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Student support and alumni records</w:t>
            </w:r>
          </w:p>
        </w:tc>
      </w:tr>
      <w:tr>
        <w:tc>
          <w:tcPr>
            <w:tcW w:type="dxa" w:w="274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6. Governance, Leadership &amp; Management</w:t>
            </w:r>
          </w:p>
        </w:tc>
        <w:tc>
          <w:tcPr>
            <w:tcW w:type="dxa" w:w="3837"/>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Planning, appraisal, finance, governance workflow</w:t>
            </w:r>
          </w:p>
        </w:tc>
        <w:tc>
          <w:tcPr>
            <w:tcW w:type="dxa" w:w="2782"/>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Admin, HR, Finance systems</w:t>
            </w:r>
          </w:p>
        </w:tc>
      </w:tr>
      <w:tr>
        <w:tc>
          <w:tcPr>
            <w:tcW w:type="dxa" w:w="274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7. Institutional Values &amp; Best Practices</w:t>
            </w:r>
          </w:p>
        </w:tc>
        <w:tc>
          <w:tcPr>
            <w:tcW w:type="dxa" w:w="3837"/>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Inclusion, ethics, sustainability, best practices</w:t>
            </w:r>
          </w:p>
        </w:tc>
        <w:tc>
          <w:tcPr>
            <w:tcW w:type="dxa" w:w="2782"/>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Institutional records</w:t>
            </w:r>
          </w:p>
        </w:tc>
      </w:tr>
      <w:tr>
        <w:tc>
          <w:tcPr>
            <w:tcW w:type="dxa" w:w="274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Extended Profile</w:t>
            </w:r>
          </w:p>
        </w:tc>
        <w:tc>
          <w:tcPr>
            <w:tcW w:type="dxa" w:w="3837"/>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Sanctioned posts, student strength, programmes, expenditure</w:t>
            </w:r>
          </w:p>
        </w:tc>
        <w:tc>
          <w:tcPr>
            <w:tcW w:type="dxa" w:w="2782"/>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Master data, HR, Finance</w:t>
            </w:r>
          </w:p>
        </w:tc>
      </w:tr>
    </w:tbl>
    <w:p>
      <w:r>
        <w:t xml:space="preserve">This catalog should be stored as configurable reference data (criterion, sub-criterion, metric code, data type, evidence requirement, weightage) so a future NAAC manual revision is a data update, not a re-engineering exercise.</w:t>
      </w:r>
    </w:p>
    <w:p>
      <w:pPr>
        <w:pStyle w:val="Heading1"/>
      </w:pPr>
      <w:r>
        <w:t xml:space="preserve">9 · Workflow, Governance and Audit Trail</w:t>
      </w:r>
    </w:p>
    <w:p>
      <w:pPr>
        <w:pStyle w:val="Heading2"/>
      </w:pPr>
      <w:r>
        <w:t xml:space="preserve">9.1 Roles</w:t>
      </w:r>
    </w:p>
    <w:p>
      <w:pPr>
        <w:pStyle w:val="ListParagraph"/>
        <w:numPr>
          <w:ilvl w:val="0"/>
          <w:numId w:val="1"/>
        </w:numPr>
      </w:pPr>
      <w:r>
        <w:t xml:space="preserve">Data Entry Operator, Faculty, HoD, Dean</w:t>
      </w:r>
    </w:p>
    <w:p>
      <w:pPr>
        <w:pStyle w:val="ListParagraph"/>
        <w:numPr>
          <w:ilvl w:val="0"/>
          <w:numId w:val="1"/>
        </w:numPr>
      </w:pPr>
      <w:r>
        <w:t xml:space="preserve">Examination Cell, Registrar, IQAC Coordinator</w:t>
      </w:r>
    </w:p>
    <w:p>
      <w:pPr>
        <w:pStyle w:val="ListParagraph"/>
        <w:numPr>
          <w:ilvl w:val="0"/>
          <w:numId w:val="1"/>
        </w:numPr>
      </w:pPr>
      <w:r>
        <w:t xml:space="preserve">Principal / Director, System Administrator, NAAC Committee Reviewer</w:t>
      </w:r>
    </w:p>
    <w:p>
      <w:pPr>
        <w:pStyle w:val="Heading2"/>
      </w:pPr>
      <w:r>
        <w:t xml:space="preserve">9.2 Required Controls</w:t>
      </w:r>
    </w:p>
    <w:p>
      <w:pPr>
        <w:pStyle w:val="ListParagraph"/>
        <w:numPr>
          <w:ilvl w:val="0"/>
          <w:numId w:val="1"/>
        </w:numPr>
      </w:pPr>
      <w:r>
        <w:t xml:space="preserve">Date-stamped audit trail for every record change</w:t>
      </w:r>
    </w:p>
    <w:p>
      <w:pPr>
        <w:pStyle w:val="ListParagraph"/>
        <w:numPr>
          <w:ilvl w:val="0"/>
          <w:numId w:val="1"/>
        </w:numPr>
      </w:pPr>
      <w:r>
        <w:t xml:space="preserve">Maker-checker approval before data is used in reporting</w:t>
      </w:r>
    </w:p>
    <w:p>
      <w:pPr>
        <w:pStyle w:val="ListParagraph"/>
        <w:numPr>
          <w:ilvl w:val="0"/>
          <w:numId w:val="1"/>
        </w:numPr>
      </w:pPr>
      <w:r>
        <w:t xml:space="preserve">Evidence attachment linked to each metric</w:t>
      </w:r>
    </w:p>
    <w:p>
      <w:pPr>
        <w:pStyle w:val="ListParagraph"/>
        <w:numPr>
          <w:ilvl w:val="0"/>
          <w:numId w:val="1"/>
        </w:numPr>
      </w:pPr>
      <w:r>
        <w:t xml:space="preserve">Version control on syllabus, policy and report documents</w:t>
      </w:r>
    </w:p>
    <w:p>
      <w:pPr>
        <w:pStyle w:val="ListParagraph"/>
        <w:numPr>
          <w:ilvl w:val="0"/>
          <w:numId w:val="1"/>
        </w:numPr>
      </w:pPr>
      <w:r>
        <w:t xml:space="preserve">Exception alerts for missing or overdue data</w:t>
      </w:r>
    </w:p>
    <w:p>
      <w:pPr>
        <w:pStyle w:val="Heading1"/>
      </w:pPr>
      <w:r>
        <w:t xml:space="preserve">10 · Progress Dashboards</w:t>
      </w:r>
    </w:p>
    <w:p>
      <w:r>
        <w:t xml:space="preserve">Three distinct progress views are required, each serving a different audience.</w:t>
      </w:r>
    </w:p>
    <w:p>
      <w:pPr>
        <w:pStyle w:val="Heading2"/>
      </w:pPr>
      <w:r>
        <w:t xml:space="preserve">10.1 Project Implementation Progress</w:t>
      </w:r>
    </w:p>
    <w:p>
      <w:pPr>
        <w:pStyle w:val="ListParagraph"/>
        <w:numPr>
          <w:ilvl w:val="0"/>
          <w:numId w:val="1"/>
        </w:numPr>
      </w:pPr>
      <w:r>
        <w:t xml:space="preserve">Requirements completed, modules configured, integrations completed</w:t>
      </w:r>
    </w:p>
    <w:p>
      <w:pPr>
        <w:pStyle w:val="ListParagraph"/>
        <w:numPr>
          <w:ilvl w:val="0"/>
          <w:numId w:val="1"/>
        </w:numPr>
      </w:pPr>
      <w:r>
        <w:t xml:space="preserve">User acceptance testing, training completed, go-live status</w:t>
      </w:r>
    </w:p>
    <w:p>
      <w:pPr>
        <w:pStyle w:val="Heading2"/>
      </w:pPr>
      <w:r>
        <w:t xml:space="preserve">10.2 Operational Academic Progress</w:t>
      </w:r>
    </w:p>
    <w:p>
      <w:pPr>
        <w:pStyle w:val="ListParagraph"/>
        <w:numPr>
          <w:ilvl w:val="0"/>
          <w:numId w:val="1"/>
        </w:numPr>
      </w:pPr>
      <w:r>
        <w:t xml:space="preserve">Admission cycle completion, timetable finalisation, syllabus coverage</w:t>
      </w:r>
    </w:p>
    <w:p>
      <w:pPr>
        <w:pStyle w:val="ListParagraph"/>
        <w:numPr>
          <w:ilvl w:val="0"/>
          <w:numId w:val="1"/>
        </w:numPr>
      </w:pPr>
      <w:r>
        <w:t xml:space="preserve">Internal assessment entry, practical completion, exam conduct, result publication</w:t>
      </w:r>
    </w:p>
    <w:p>
      <w:pPr>
        <w:pStyle w:val="Heading2"/>
      </w:pPr>
      <w:r>
        <w:t xml:space="preserve">10.3 NAAC Readiness Progress</w:t>
      </w:r>
    </w:p>
    <w:p>
      <w:pPr>
        <w:pStyle w:val="ListParagraph"/>
        <w:numPr>
          <w:ilvl w:val="0"/>
          <w:numId w:val="1"/>
        </w:numPr>
      </w:pPr>
      <w:r>
        <w:t xml:space="preserve">Criterion-wise data collected and evidence uploaded</w:t>
      </w:r>
    </w:p>
    <w:p>
      <w:pPr>
        <w:pStyle w:val="ListParagraph"/>
        <w:numPr>
          <w:ilvl w:val="0"/>
          <w:numId w:val="1"/>
        </w:numPr>
      </w:pPr>
      <w:r>
        <w:t xml:space="preserve">Narrative drafted, reviewed and approved by IQAC</w:t>
      </w:r>
    </w:p>
    <w:p>
      <w:pPr>
        <w:pStyle w:val="ListParagraph"/>
        <w:numPr>
          <w:ilvl w:val="0"/>
          <w:numId w:val="1"/>
        </w:numPr>
      </w:pPr>
      <w:r>
        <w:t xml:space="preserve">Final AQAR/SSR report generated and locked for submission</w:t>
      </w:r>
    </w:p>
    <w:p>
      <w:pPr>
        <w:pStyle w:val="Heading1"/>
      </w:pPr>
      <w:r>
        <w:t xml:space="preserve">11 · Report Outputs</w:t>
      </w:r>
    </w:p>
    <w:p>
      <w:pPr>
        <w:pStyle w:val="Heading2"/>
      </w:pPr>
      <w:r>
        <w:t xml:space="preserve">11.1 Institutional Operational Reports</w:t>
      </w:r>
    </w:p>
    <w:p>
      <w:pPr>
        <w:pStyle w:val="ListParagraph"/>
        <w:numPr>
          <w:ilvl w:val="0"/>
          <w:numId w:val="1"/>
        </w:numPr>
      </w:pPr>
      <w:r>
        <w:t xml:space="preserve">Admission register, class timetable, faculty workload report</w:t>
      </w:r>
    </w:p>
    <w:p>
      <w:pPr>
        <w:pStyle w:val="ListParagraph"/>
        <w:numPr>
          <w:ilvl w:val="0"/>
          <w:numId w:val="1"/>
        </w:numPr>
      </w:pPr>
      <w:r>
        <w:t xml:space="preserve">Syllabus completion report, attendance report, internal marks register</w:t>
      </w:r>
    </w:p>
    <w:p>
      <w:pPr>
        <w:pStyle w:val="ListParagraph"/>
        <w:numPr>
          <w:ilvl w:val="0"/>
          <w:numId w:val="1"/>
        </w:numPr>
      </w:pPr>
      <w:r>
        <w:t xml:space="preserve">Practical completion register, semester result analysis, pass percentage report</w:t>
      </w:r>
    </w:p>
    <w:p>
      <w:pPr>
        <w:pStyle w:val="ListParagraph"/>
        <w:numPr>
          <w:ilvl w:val="0"/>
          <w:numId w:val="1"/>
        </w:numPr>
      </w:pPr>
      <w:r>
        <w:t xml:space="preserve">Student-teacher ratio report</w:t>
      </w:r>
    </w:p>
    <w:p>
      <w:pPr>
        <w:pStyle w:val="Heading2"/>
      </w:pPr>
      <w:r>
        <w:t xml:space="preserve">11.2 Management Reports</w:t>
      </w:r>
    </w:p>
    <w:p>
      <w:pPr>
        <w:pStyle w:val="ListParagraph"/>
        <w:numPr>
          <w:ilvl w:val="0"/>
          <w:numId w:val="1"/>
        </w:numPr>
      </w:pPr>
      <w:r>
        <w:t xml:space="preserve">Principal dashboard, HoD dashboard, Controller of Examinations dashboard</w:t>
      </w:r>
    </w:p>
    <w:p>
      <w:pPr>
        <w:pStyle w:val="ListParagraph"/>
        <w:numPr>
          <w:ilvl w:val="0"/>
          <w:numId w:val="1"/>
        </w:numPr>
      </w:pPr>
      <w:r>
        <w:t xml:space="preserve">IQAC dashboard, Governing Body dashboard</w:t>
      </w:r>
    </w:p>
    <w:p>
      <w:pPr>
        <w:pStyle w:val="Heading2"/>
      </w:pPr>
      <w:r>
        <w:t xml:space="preserve">11.3 NAAC Reports</w:t>
      </w:r>
    </w:p>
    <w:p>
      <w:pPr>
        <w:pStyle w:val="ListParagraph"/>
        <w:numPr>
          <w:ilvl w:val="0"/>
          <w:numId w:val="1"/>
        </w:numPr>
      </w:pPr>
      <w:r>
        <w:t xml:space="preserve">AQAR (annual)</w:t>
      </w:r>
    </w:p>
    <w:p>
      <w:pPr>
        <w:pStyle w:val="ListParagraph"/>
        <w:numPr>
          <w:ilvl w:val="0"/>
          <w:numId w:val="1"/>
        </w:numPr>
      </w:pPr>
      <w:r>
        <w:t xml:space="preserve">SSR (criterion-wise, full accreditation cycle)</w:t>
      </w:r>
    </w:p>
    <w:p>
      <w:pPr>
        <w:pStyle w:val="ListParagraph"/>
        <w:numPr>
          <w:ilvl w:val="0"/>
          <w:numId w:val="1"/>
        </w:numPr>
      </w:pPr>
      <w:r>
        <w:t xml:space="preserve">Metric-wise evidence checklist and Extended Profile tables</w:t>
      </w:r>
    </w:p>
    <w:p>
      <w:pPr>
        <w:pStyle w:val="ListParagraph"/>
        <w:numPr>
          <w:ilvl w:val="0"/>
          <w:numId w:val="1"/>
        </w:numPr>
      </w:pPr>
      <w:r>
        <w:t xml:space="preserve">Department readiness report and gap analysis</w:t>
      </w:r>
    </w:p>
    <w:p>
      <w:pPr>
        <w:pStyle w:val="ListParagraph"/>
        <w:numPr>
          <w:ilvl w:val="0"/>
          <w:numId w:val="1"/>
        </w:numPr>
      </w:pPr>
      <w:r>
        <w:t xml:space="preserve">Final accreditation submission package</w:t>
      </w:r>
    </w:p>
    <w:p>
      <w:pPr>
        <w:pStyle w:val="Heading1"/>
      </w:pPr>
      <w:r>
        <w:t xml:space="preserve">12 · Implementation Roadmap</w:t>
      </w:r>
    </w:p>
    <w:tbl>
      <w:tblPr>
        <w:tblW w:type="dxa" w:w="9360"/>
        <w:tblBorders>
          <w:top w:val="single" w:color="D7DBE3" w:sz="4"/>
          <w:left w:val="single" w:color="D7DBE3" w:sz="4"/>
          <w:bottom w:val="single" w:color="D7DBE3" w:sz="4"/>
          <w:right w:val="single" w:color="D7DBE3" w:sz="4"/>
          <w:insideH w:val="single" w:color="D7DBE3" w:sz="4"/>
          <w:insideV w:val="single" w:color="D7DBE3" w:sz="4"/>
        </w:tblBorders>
        <w:tblLayout w:type="fixed"/>
      </w:tblPr>
      <w:tblGrid>
        <w:gridCol w:w="2369"/>
        <w:gridCol w:w="2126"/>
        <w:gridCol w:w="4865"/>
      </w:tblGrid>
      <w:tr>
        <w:trPr>
          <w:tblHeader/>
        </w:trPr>
        <w:tc>
          <w:tcPr>
            <w:tcW w:type="dxa" w:w="2369"/>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Phase</w:t>
            </w:r>
          </w:p>
        </w:tc>
        <w:tc>
          <w:tcPr>
            <w:tcW w:type="dxa" w:w="2126"/>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Focus</w:t>
            </w:r>
          </w:p>
        </w:tc>
        <w:tc>
          <w:tcPr>
            <w:tcW w:type="dxa" w:w="4865"/>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Key Deliverables</w:t>
            </w:r>
          </w:p>
        </w:tc>
      </w:tr>
      <w:tr>
        <w:tc>
          <w:tcPr>
            <w:tcW w:type="dxa" w:w="236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Phase 1 — Foundation</w:t>
            </w:r>
          </w:p>
        </w:tc>
        <w:tc>
          <w:tcPr>
            <w:tcW w:type="dxa" w:w="2126"/>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Core academic operations</w:t>
            </w:r>
          </w:p>
        </w:tc>
        <w:tc>
          <w:tcPr>
            <w:tcW w:type="dxa" w:w="4865"/>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Master data, admissions, timetable, faculty workload, attendance, internal marks, basic analytics</w:t>
            </w:r>
          </w:p>
        </w:tc>
      </w:tr>
      <w:tr>
        <w:tc>
          <w:tcPr>
            <w:tcW w:type="dxa" w:w="236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Phase 2 — Digitisation</w:t>
            </w:r>
          </w:p>
        </w:tc>
        <w:tc>
          <w:tcPr>
            <w:tcW w:type="dxa" w:w="2126"/>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Academic process depth</w:t>
            </w:r>
          </w:p>
        </w:tc>
        <w:tc>
          <w:tcPr>
            <w:tcW w:type="dxa" w:w="4865"/>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Curriculum/syllabus module, LMS, assignments/quizzes/seminars, practical tracking, approvals</w:t>
            </w:r>
          </w:p>
        </w:tc>
      </w:tr>
      <w:tr>
        <w:tc>
          <w:tcPr>
            <w:tcW w:type="dxa" w:w="2369"/>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Phase 3 — Analytics</w:t>
            </w:r>
          </w:p>
        </w:tc>
        <w:tc>
          <w:tcPr>
            <w:tcW w:type="dxa" w:w="2126"/>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Institutional intelligence</w:t>
            </w:r>
          </w:p>
        </w:tc>
        <w:tc>
          <w:tcPr>
            <w:tcW w:type="dxa" w:w="4865"/>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Institution/department/programme dashboards, predictive alerts, pass-rate and STR analytics</w:t>
            </w:r>
          </w:p>
        </w:tc>
      </w:tr>
      <w:tr>
        <w:tc>
          <w:tcPr>
            <w:tcW w:type="dxa" w:w="2369"/>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Phase 4 — NAAC Automation</w:t>
            </w:r>
          </w:p>
        </w:tc>
        <w:tc>
          <w:tcPr>
            <w:tcW w:type="dxa" w:w="2126"/>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Accreditation readiness</w:t>
            </w:r>
          </w:p>
        </w:tc>
        <w:tc>
          <w:tcPr>
            <w:tcW w:type="dxa" w:w="4865"/>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Criterion-wise repository, AQAR auto-generation, SSR evidence mapping, readiness dashboard, export</w:t>
            </w:r>
          </w:p>
        </w:tc>
      </w:tr>
    </w:tbl>
    <w:p>
      <w:pPr>
        <w:pStyle w:val="Heading1"/>
      </w:pPr>
      <w:r>
        <w:t xml:space="preserve">13 · Risks and Mitigation</w:t>
      </w:r>
    </w:p>
    <w:tbl>
      <w:tblPr>
        <w:tblW w:type="dxa" w:w="9360"/>
        <w:tblBorders>
          <w:top w:val="single" w:color="D7DBE3" w:sz="4"/>
          <w:left w:val="single" w:color="D7DBE3" w:sz="4"/>
          <w:bottom w:val="single" w:color="D7DBE3" w:sz="4"/>
          <w:right w:val="single" w:color="D7DBE3" w:sz="4"/>
          <w:insideH w:val="single" w:color="D7DBE3" w:sz="4"/>
          <w:insideV w:val="single" w:color="D7DBE3" w:sz="4"/>
        </w:tblBorders>
        <w:tblLayout w:type="fixed"/>
      </w:tblPr>
      <w:tblGrid>
        <w:gridCol w:w="2738"/>
        <w:gridCol w:w="2871"/>
        <w:gridCol w:w="3751"/>
      </w:tblGrid>
      <w:tr>
        <w:trPr>
          <w:tblHeader/>
        </w:trPr>
        <w:tc>
          <w:tcPr>
            <w:tcW w:type="dxa" w:w="2738"/>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Risk</w:t>
            </w:r>
          </w:p>
        </w:tc>
        <w:tc>
          <w:tcPr>
            <w:tcW w:type="dxa" w:w="2871"/>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Impact</w:t>
            </w:r>
          </w:p>
        </w:tc>
        <w:tc>
          <w:tcPr>
            <w:tcW w:type="dxa" w:w="3751"/>
            <w:tcBorders>
              <w:top w:val="single" w:color="D7DBE3" w:sz="4"/>
              <w:left w:val="single" w:color="D7DBE3" w:sz="4"/>
              <w:bottom w:val="single" w:color="D7DBE3" w:sz="4"/>
              <w:right w:val="single" w:color="D7DBE3" w:sz="4"/>
            </w:tcBorders>
            <w:shd w:fill="1F3864"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Mitigation</w:t>
            </w:r>
          </w:p>
        </w:tc>
      </w:tr>
      <w:tr>
        <w:tc>
          <w:tcPr>
            <w:tcW w:type="dxa" w:w="273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Poor source data quality</w:t>
            </w:r>
          </w:p>
        </w:tc>
        <w:tc>
          <w:tcPr>
            <w:tcW w:type="dxa" w:w="287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Incorrect KPIs and NAAC reports</w:t>
            </w:r>
          </w:p>
        </w:tc>
        <w:tc>
          <w:tcPr>
            <w:tcW w:type="dxa" w:w="375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Master data governance and validation rules</w:t>
            </w:r>
          </w:p>
        </w:tc>
      </w:tr>
      <w:tr>
        <w:tc>
          <w:tcPr>
            <w:tcW w:type="dxa" w:w="273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Excessive manual entry</w:t>
            </w:r>
          </w:p>
        </w:tc>
        <w:tc>
          <w:tcPr>
            <w:tcW w:type="dxa" w:w="287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Low adoption by faculty and staff</w:t>
            </w:r>
          </w:p>
        </w:tc>
        <w:tc>
          <w:tcPr>
            <w:tcW w:type="dxa" w:w="375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Integrations, templates, single-entry reuse of data</w:t>
            </w:r>
          </w:p>
        </w:tc>
      </w:tr>
      <w:tr>
        <w:tc>
          <w:tcPr>
            <w:tcW w:type="dxa" w:w="273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No departmental ownership</w:t>
            </w:r>
          </w:p>
        </w:tc>
        <w:tc>
          <w:tcPr>
            <w:tcW w:type="dxa" w:w="287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Incomplete evidence at reporting time</w:t>
            </w:r>
          </w:p>
        </w:tc>
        <w:tc>
          <w:tcPr>
            <w:tcW w:type="dxa" w:w="375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Metric owner assignment per criterion</w:t>
            </w:r>
          </w:p>
        </w:tc>
      </w:tr>
      <w:tr>
        <w:tc>
          <w:tcPr>
            <w:tcW w:type="dxa" w:w="273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Last-minute accreditation prep</w:t>
            </w:r>
          </w:p>
        </w:tc>
        <w:tc>
          <w:tcPr>
            <w:tcW w:type="dxa" w:w="287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Weak SSR/AQAR quality</w:t>
            </w:r>
          </w:p>
        </w:tc>
        <w:tc>
          <w:tcPr>
            <w:tcW w:type="dxa" w:w="375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Year-round evidence capture via workflow</w:t>
            </w:r>
          </w:p>
        </w:tc>
      </w:tr>
      <w:tr>
        <w:tc>
          <w:tcPr>
            <w:tcW w:type="dxa" w:w="2738"/>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Changing NAAC formats/weightages</w:t>
            </w:r>
          </w:p>
        </w:tc>
        <w:tc>
          <w:tcPr>
            <w:tcW w:type="dxa" w:w="287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Rework of the reporting engine</w:t>
            </w:r>
          </w:p>
        </w:tc>
        <w:tc>
          <w:tcPr>
            <w:tcW w:type="dxa" w:w="3751"/>
            <w:tcBorders>
              <w:top w:val="single" w:color="D7DBE3" w:sz="4"/>
              <w:left w:val="single" w:color="D7DBE3" w:sz="4"/>
              <w:bottom w:val="single" w:color="D7DBE3" w:sz="4"/>
              <w:right w:val="single" w:color="D7DBE3"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Configurable metric and criteria catalog</w:t>
            </w:r>
          </w:p>
        </w:tc>
      </w:tr>
      <w:tr>
        <w:tc>
          <w:tcPr>
            <w:tcW w:type="dxa" w:w="2738"/>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Weak approval workflow</w:t>
            </w:r>
          </w:p>
        </w:tc>
        <w:tc>
          <w:tcPr>
            <w:tcW w:type="dxa" w:w="287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Unreliable, unverified reports</w:t>
            </w:r>
          </w:p>
        </w:tc>
        <w:tc>
          <w:tcPr>
            <w:tcW w:type="dxa" w:w="3751"/>
            <w:tcBorders>
              <w:top w:val="single" w:color="D7DBE3" w:sz="4"/>
              <w:left w:val="single" w:color="D7DBE3" w:sz="4"/>
              <w:bottom w:val="single" w:color="D7DBE3" w:sz="4"/>
              <w:right w:val="single" w:color="D7DBE3" w:sz="4"/>
            </w:tcBorders>
            <w:shd w:fill="EFF1F4"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Maker-checker approval and data locking</w:t>
            </w:r>
          </w:p>
        </w:tc>
      </w:tr>
    </w:tbl>
    <w:p>
      <w:pPr>
        <w:pStyle w:val="Heading1"/>
      </w:pPr>
      <w:r>
        <w:t xml:space="preserve">14 · Stakeholders</w:t>
      </w:r>
    </w:p>
    <w:p>
      <w:pPr>
        <w:pStyle w:val="ListParagraph"/>
        <w:numPr>
          <w:ilvl w:val="0"/>
          <w:numId w:val="1"/>
        </w:numPr>
      </w:pPr>
      <w:r>
        <w:t xml:space="preserve">Sponsoring authority (Ministry / State Department / University)</w:t>
      </w:r>
    </w:p>
    <w:p>
      <w:pPr>
        <w:pStyle w:val="ListParagraph"/>
        <w:numPr>
          <w:ilvl w:val="0"/>
          <w:numId w:val="1"/>
        </w:numPr>
      </w:pPr>
      <w:r>
        <w:t xml:space="preserve">Principal / Director and IQAC Coordinator</w:t>
      </w:r>
    </w:p>
    <w:p>
      <w:pPr>
        <w:pStyle w:val="ListParagraph"/>
        <w:numPr>
          <w:ilvl w:val="0"/>
          <w:numId w:val="1"/>
        </w:numPr>
      </w:pPr>
      <w:r>
        <w:t xml:space="preserve">Registrar and Controller of Examinations</w:t>
      </w:r>
    </w:p>
    <w:p>
      <w:pPr>
        <w:pStyle w:val="ListParagraph"/>
        <w:numPr>
          <w:ilvl w:val="0"/>
          <w:numId w:val="1"/>
        </w:numPr>
      </w:pPr>
      <w:r>
        <w:t xml:space="preserve">Deans, HoDs and Faculty representatives</w:t>
      </w:r>
    </w:p>
    <w:p>
      <w:pPr>
        <w:pStyle w:val="ListParagraph"/>
        <w:numPr>
          <w:ilvl w:val="0"/>
          <w:numId w:val="1"/>
        </w:numPr>
      </w:pPr>
      <w:r>
        <w:t xml:space="preserve">IT implementation team / vendor</w:t>
      </w:r>
    </w:p>
    <w:p>
      <w:pPr>
        <w:pStyle w:val="ListParagraph"/>
        <w:numPr>
          <w:ilvl w:val="0"/>
          <w:numId w:val="1"/>
        </w:numPr>
      </w:pPr>
      <w:r>
        <w:t xml:space="preserve">Accreditation documentation team</w:t>
      </w:r>
    </w:p>
    <w:p>
      <w:pPr>
        <w:pStyle w:val="Heading1"/>
      </w:pPr>
      <w:r>
        <w:t xml:space="preserve">15 · Next Steps</w:t>
      </w:r>
    </w:p>
    <w:p>
      <w:pPr>
        <w:pStyle w:val="ListParagraph"/>
        <w:numPr>
          <w:ilvl w:val="0"/>
          <w:numId w:val="2"/>
        </w:numPr>
      </w:pPr>
      <w:r>
        <w:t xml:space="preserve">Confirm the governing authority and whether the platform is single-institution, multi-institution, or a national aggregation system.</w:t>
      </w:r>
    </w:p>
    <w:p>
      <w:pPr>
        <w:pStyle w:val="ListParagraph"/>
        <w:numPr>
          <w:ilvl w:val="0"/>
          <w:numId w:val="2"/>
        </w:numPr>
      </w:pPr>
      <w:r>
        <w:t xml:space="preserve">Confirm alignment scope: NAAC only, or also NEP 2020, NIRF, NBA and AISHE/UGC data integration.</w:t>
      </w:r>
    </w:p>
    <w:p>
      <w:pPr>
        <w:pStyle w:val="ListParagraph"/>
        <w:numPr>
          <w:ilvl w:val="0"/>
          <w:numId w:val="2"/>
        </w:numPr>
      </w:pPr>
      <w:r>
        <w:t xml:space="preserve">Load the current NAAC DCF 2025 metric catalog (Binary + MBGL) as configurable reference data.</w:t>
      </w:r>
    </w:p>
    <w:p>
      <w:pPr>
        <w:pStyle w:val="ListParagraph"/>
        <w:numPr>
          <w:ilvl w:val="0"/>
          <w:numId w:val="2"/>
        </w:numPr>
      </w:pPr>
      <w:r>
        <w:t xml:space="preserve">Finalise master data model and integration points with existing admission, examination and HR systems.</w:t>
      </w:r>
    </w:p>
    <w:p>
      <w:pPr>
        <w:pStyle w:val="ListParagraph"/>
        <w:numPr>
          <w:ilvl w:val="0"/>
          <w:numId w:val="2"/>
        </w:numPr>
      </w:pPr>
      <w:r>
        <w:t xml:space="preserve">Sequence delivery per the four-phase roadmap, starting with Phase 1 foundation modules.</w:t>
      </w:r>
    </w:p>
    <w:p>
      <w:r>
        <w:t xml:space="preserve">This document is intended as the governing concept note for detailed design — architecture diagrams, database schema, and UI wireframes should be developed as the next-level artifacts once the scope confirmations above are settled.</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r>
      <w:rPr>
        <w:sz w:val="18"/>
        <w:szCs w:val="18"/>
      </w:rPr>
      <w:t xml:space="preserve"> of </w:t>
    </w:r>
    <w:r>
      <w:rPr>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National HEI Dashboard — Concept Note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pPr>
        <w:spacing w:after="16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Eyebrow">
    <w:name w:val="Eyebrow"/>
    <w:basedOn w:val="Normal"/>
    <w:qFormat/>
    <w:pPr>
      <w:spacing w:after="40"/>
    </w:pPr>
    <w:rPr>
      <w:b/>
      <w:bCs/>
      <w:caps/>
      <w:color w:val="595959"/>
      <w:spacing w:val="30"/>
      <w:sz w:val="16"/>
      <w:szCs w:val="16"/>
    </w:rPr>
  </w:style>
  <w:style w:type="paragraph" w:styleId="Title">
    <w:name w:val="Title"/>
    <w:basedOn w:val="Normal"/>
    <w:qFormat/>
    <w:pPr>
      <w:spacing w:after="40"/>
    </w:pPr>
    <w:rPr>
      <w:b/>
      <w:bCs/>
      <w:color w:val="1F3864"/>
      <w:sz w:val="52"/>
      <w:szCs w:val="52"/>
    </w:rPr>
  </w:style>
  <w:style w:type="paragraph" w:styleId="Subtitle">
    <w:name w:val="Subtitle"/>
    <w:basedOn w:val="Normal"/>
    <w:qFormat/>
    <w:pPr>
      <w:pBdr>
        <w:bottom w:val="single" w:color="1F3864" w:sz="12" w:space="8"/>
      </w:pBdr>
      <w:spacing w:after="200"/>
    </w:pPr>
    <w:rPr>
      <w:color w:val="595959"/>
      <w:sz w:val="22"/>
      <w:szCs w:val="22"/>
    </w:rPr>
  </w:style>
  <w:style w:type="paragraph" w:styleId="Heading1">
    <w:name w:val="Heading 1"/>
    <w:basedOn w:val="Normal"/>
    <w:next w:val="Normal"/>
    <w:qFormat/>
    <w:pPr>
      <w:keepNext/>
      <w:pBdr>
        <w:bottom w:val="single" w:color="D7DBE3" w:sz="6" w:space="4"/>
      </w:pBdr>
      <w:spacing w:after="120" w:before="320"/>
    </w:pPr>
    <w:rPr>
      <w:b/>
      <w:bCs/>
      <w:color w:val="1F3864"/>
      <w:sz w:val="28"/>
      <w:szCs w:val="28"/>
    </w:rPr>
  </w:style>
  <w:style w:type="paragraph" w:styleId="Heading2">
    <w:name w:val="Heading 2"/>
    <w:basedOn w:val="Normal"/>
    <w:next w:val="Normal"/>
    <w:qFormat/>
    <w:pPr>
      <w:keepNext/>
      <w:spacing w:after="80" w:before="240"/>
    </w:pPr>
    <w:rPr>
      <w:b/>
      <w:bCs/>
      <w:color w:val="1F38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2026-07-11T04:16:24.432Z</dcterms:created>
  <dcterms:modified xsi:type="dcterms:W3CDTF">2026-07-11T04:16:24.432Z</dcterms:modified>
</cp:coreProperties>
</file>

<file path=docProps/custom.xml><?xml version="1.0" encoding="utf-8"?>
<Properties xmlns="http://schemas.openxmlformats.org/officeDocument/2006/custom-properties" xmlns:vt="http://schemas.openxmlformats.org/officeDocument/2006/docPropsVTypes"/>
</file>