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rFonts w:ascii="Calibri" w:cs="Calibri" w:eastAsia="Calibri" w:hAnsi="Calibri"/>
          <w:b/>
          <w:bCs/>
          <w:color w:val="1F3864"/>
          <w:sz w:val="48"/>
          <w:szCs w:val="48"/>
        </w:rPr>
        <w:t xml:space="preserve">NAAC Virtual Accreditation Roadmap</w:t>
      </w:r>
    </w:p>
    <w:p>
      <w:pPr>
        <w:spacing w:after="120"/>
        <w:jc w:val="center"/>
      </w:pPr>
      <w:r>
        <w:rPr>
          <w:rFonts w:ascii="Calibri" w:cs="Calibri" w:eastAsia="Calibri" w:hAnsi="Calibri"/>
          <w:i/>
          <w:iCs/>
          <w:color w:val="2E74B5"/>
          <w:sz w:val="26"/>
          <w:szCs w:val="26"/>
        </w:rPr>
        <w:t xml:space="preserve">Version 2.0 — Extended with Personalised Learning &amp; Learner Psychology</w:t>
      </w:r>
    </w:p>
    <w:p>
      <w:pPr>
        <w:spacing w:after="2400"/>
        <w:jc w:val="center"/>
      </w:pPr>
      <w:r>
        <w:rPr>
          <w:rFonts w:ascii="Calibri" w:cs="Calibri" w:eastAsia="Calibri" w:hAnsi="Calibri"/>
          <w:sz w:val="22"/>
          <w:szCs w:val="22"/>
        </w:rPr>
        <w:t xml:space="preserve">Digital Resources · Digital Pedagogy · OBE Tracking · Personalised Learning System</w:t>
      </w:r>
    </w:p>
    <w:p>
      <w:r>
        <w:br w:type="page"/>
      </w:r>
    </w:p>
    <w:p>
      <w:pPr>
        <w:pStyle w:val="Heading1"/>
        <w:spacing w:after="120" w:before="240"/>
      </w:pPr>
      <w:r>
        <w:rPr>
          <w:rFonts w:ascii="Calibri" w:cs="Calibri" w:eastAsia="Calibri" w:hAnsi="Calibri"/>
          <w:b/>
          <w:bCs/>
          <w:color w:val="1F3864"/>
          <w:sz w:val="32"/>
          <w:szCs w:val="32"/>
        </w:rPr>
        <w:t xml:space="preserve">Preface to Version 2.0</w:t>
      </w:r>
    </w:p>
    <w:p>
      <w:pPr>
        <w:spacing w:after="120"/>
      </w:pPr>
      <w:r>
        <w:rPr>
          <w:rFonts w:ascii="Calibri" w:cs="Calibri" w:eastAsia="Calibri" w:hAnsi="Calibri"/>
          <w:sz w:val="22"/>
          <w:szCs w:val="22"/>
        </w:rPr>
        <w:t xml:space="preserve">Version 1.0 of this roadmap architected machine-to-machine accreditation across three pillars — Digital Resources, Digital Pedagogy and Digital Tracking of OBE. However, accreditation that measures only content, courseware and cohort-level outcomes fails to answer NAAC’s deeper question: is every individual learner actually learning?</w:t>
      </w:r>
    </w:p>
    <w:p>
      <w:pPr>
        <w:spacing w:after="120"/>
      </w:pPr>
      <w:r>
        <w:rPr>
          <w:rFonts w:ascii="Calibri" w:cs="Calibri" w:eastAsia="Calibri" w:hAnsi="Calibri"/>
          <w:sz w:val="22"/>
          <w:szCs w:val="22"/>
        </w:rPr>
        <w:t xml:space="preserve">Higher education classrooms are heterogeneous. Slow learners, fast learners, students paralysed by exam fear, students whose confidence outstrips their competence, and students whose strengths in one domain mask weaknesses in another all co-exist. Any accreditation framework that ignores this psychological reality reduces itself to a compliance exercise.</w:t>
      </w:r>
    </w:p>
    <w:p>
      <w:pPr>
        <w:spacing w:after="120"/>
      </w:pPr>
      <w:r>
        <w:rPr>
          <w:rFonts w:ascii="Calibri" w:cs="Calibri" w:eastAsia="Calibri" w:hAnsi="Calibri"/>
          <w:sz w:val="22"/>
          <w:szCs w:val="22"/>
        </w:rPr>
        <w:t xml:space="preserve">This version therefore introduces Pillar D — Personalised Learning System (PLS) &amp; Learner Psychology — and integrates it with Pillars B and C through diagnostic profiling, affective analytics, adaptive remediation and counsellor loops, all designed to expose auditable, privacy-preserving evidence to NAAC through the same cross-verification fabric.</w:t>
      </w:r>
    </w:p>
    <w:p>
      <w:pPr>
        <w:pStyle w:val="Heading2"/>
        <w:spacing w:after="120" w:before="240"/>
      </w:pPr>
      <w:r>
        <w:rPr>
          <w:rFonts w:ascii="Calibri" w:cs="Calibri" w:eastAsia="Calibri" w:hAnsi="Calibri"/>
          <w:b/>
          <w:bCs/>
          <w:color w:val="1F3864"/>
          <w:sz w:val="28"/>
          <w:szCs w:val="28"/>
        </w:rPr>
        <w:t xml:space="preserve">Structure</w:t>
      </w:r>
    </w:p>
    <w:p>
      <w:pPr>
        <w:pStyle w:val="ListParagraph"/>
        <w:numPr>
          <w:ilvl w:val="0"/>
          <w:numId w:val="2"/>
        </w:numPr>
        <w:spacing w:after="80"/>
      </w:pPr>
      <w:r>
        <w:rPr>
          <w:rFonts w:ascii="Calibri" w:cs="Calibri" w:eastAsia="Calibri" w:hAnsi="Calibri"/>
          <w:sz w:val="22"/>
          <w:szCs w:val="22"/>
        </w:rPr>
        <w:t xml:space="preserve">Pillar A — Digital Resources (unchanged from v1)</w:t>
      </w:r>
    </w:p>
    <w:p>
      <w:pPr>
        <w:pStyle w:val="ListParagraph"/>
        <w:numPr>
          <w:ilvl w:val="0"/>
          <w:numId w:val="2"/>
        </w:numPr>
        <w:spacing w:after="80"/>
      </w:pPr>
      <w:r>
        <w:rPr>
          <w:rFonts w:ascii="Calibri" w:cs="Calibri" w:eastAsia="Calibri" w:hAnsi="Calibri"/>
          <w:sz w:val="22"/>
          <w:szCs w:val="22"/>
        </w:rPr>
        <w:t xml:space="preserve">Pillar B — Digital Pedagogy (extended with affective telemetry hooks)</w:t>
      </w:r>
    </w:p>
    <w:p>
      <w:pPr>
        <w:pStyle w:val="ListParagraph"/>
        <w:numPr>
          <w:ilvl w:val="0"/>
          <w:numId w:val="2"/>
        </w:numPr>
        <w:spacing w:after="80"/>
      </w:pPr>
      <w:r>
        <w:rPr>
          <w:rFonts w:ascii="Calibri" w:cs="Calibri" w:eastAsia="Calibri" w:hAnsi="Calibri"/>
          <w:sz w:val="22"/>
          <w:szCs w:val="22"/>
        </w:rPr>
        <w:t xml:space="preserve">Pillar C — Digital Tracking of OBE (extended with learner-level attainment)</w:t>
      </w:r>
    </w:p>
    <w:p>
      <w:pPr>
        <w:pStyle w:val="ListParagraph"/>
        <w:numPr>
          <w:ilvl w:val="0"/>
          <w:numId w:val="2"/>
        </w:numPr>
        <w:spacing w:after="80"/>
      </w:pPr>
      <w:r>
        <w:rPr>
          <w:rFonts w:ascii="Calibri" w:cs="Calibri" w:eastAsia="Calibri" w:hAnsi="Calibri"/>
          <w:sz w:val="22"/>
          <w:szCs w:val="22"/>
        </w:rPr>
        <w:t xml:space="preserve">Pillar D — Personalised Learning System &amp; Learner Psychology (NEW)</w:t>
      </w:r>
    </w:p>
    <w:p>
      <w:pPr>
        <w:pStyle w:val="ListParagraph"/>
        <w:numPr>
          <w:ilvl w:val="0"/>
          <w:numId w:val="2"/>
        </w:numPr>
        <w:spacing w:after="80"/>
      </w:pPr>
      <w:r>
        <w:rPr>
          <w:rFonts w:ascii="Calibri" w:cs="Calibri" w:eastAsia="Calibri" w:hAnsi="Calibri"/>
          <w:sz w:val="22"/>
          <w:szCs w:val="22"/>
        </w:rPr>
        <w:t xml:space="preserve">Enabling Layer — Data Lake, Identity, DPDP, IQAC governance</w:t>
      </w:r>
    </w:p>
    <w:p>
      <w:pPr>
        <w:pStyle w:val="ListParagraph"/>
        <w:numPr>
          <w:ilvl w:val="0"/>
          <w:numId w:val="2"/>
        </w:numPr>
        <w:spacing w:after="80"/>
      </w:pPr>
      <w:r>
        <w:rPr>
          <w:rFonts w:ascii="Calibri" w:cs="Calibri" w:eastAsia="Calibri" w:hAnsi="Calibri"/>
          <w:sz w:val="22"/>
          <w:szCs w:val="22"/>
        </w:rPr>
        <w:t xml:space="preserve">24-Month Consolidated Timeline</w:t>
      </w:r>
    </w:p>
    <w:p>
      <w:pPr>
        <w:pStyle w:val="ListParagraph"/>
        <w:numPr>
          <w:ilvl w:val="0"/>
          <w:numId w:val="2"/>
        </w:numPr>
        <w:spacing w:after="80"/>
      </w:pPr>
      <w:r>
        <w:rPr>
          <w:rFonts w:ascii="Calibri" w:cs="Calibri" w:eastAsia="Calibri" w:hAnsi="Calibri"/>
          <w:sz w:val="22"/>
          <w:szCs w:val="22"/>
        </w:rPr>
        <w:t xml:space="preserve">Success Metrics &amp; NAAC Cross-Verification Matrix</w:t>
      </w:r>
    </w:p>
    <w:p>
      <w:r>
        <w:br w:type="page"/>
      </w:r>
    </w:p>
    <w:p>
      <w:pPr>
        <w:pStyle w:val="Heading1"/>
        <w:spacing w:after="120" w:before="240"/>
      </w:pPr>
      <w:r>
        <w:rPr>
          <w:rFonts w:ascii="Calibri" w:cs="Calibri" w:eastAsia="Calibri" w:hAnsi="Calibri"/>
          <w:b/>
          <w:bCs/>
          <w:color w:val="1F3864"/>
          <w:sz w:val="32"/>
          <w:szCs w:val="32"/>
        </w:rPr>
        <w:t xml:space="preserve">Pillar D — Personalised Learning System &amp; Learner Psychology</w:t>
      </w:r>
    </w:p>
    <w:p>
      <w:pPr>
        <w:spacing w:after="120"/>
      </w:pPr>
      <w:r>
        <w:rPr>
          <w:rFonts w:ascii="Calibri" w:cs="Calibri" w:eastAsia="Calibri" w:hAnsi="Calibri"/>
          <w:sz w:val="22"/>
          <w:szCs w:val="22"/>
        </w:rPr>
        <w:t xml:space="preserve">Objective: Build a per-student digital twin that captures cognitive ability, affective state, learning preferences, strengths, weaknesses and psychological wellbeing, and drives adaptive pedagogy, timely remediation and counsellor intervention. All evidence is machine-verifiable and exposable to NAAC through consented, aggregated, privacy-preserving APIs.</w:t>
      </w:r>
    </w:p>
    <w:p>
      <w:pPr>
        <w:pStyle w:val="Heading2"/>
        <w:spacing w:after="120" w:before="240"/>
      </w:pPr>
      <w:r>
        <w:rPr>
          <w:rFonts w:ascii="Calibri" w:cs="Calibri" w:eastAsia="Calibri" w:hAnsi="Calibri"/>
          <w:b/>
          <w:bCs/>
          <w:color w:val="1F3864"/>
          <w:sz w:val="28"/>
          <w:szCs w:val="28"/>
        </w:rPr>
        <w:t xml:space="preserve">D.1 Guiding Principles</w:t>
      </w:r>
    </w:p>
    <w:p>
      <w:pPr>
        <w:pStyle w:val="ListParagraph"/>
        <w:numPr>
          <w:ilvl w:val="0"/>
          <w:numId w:val="2"/>
        </w:numPr>
        <w:spacing w:after="80"/>
      </w:pPr>
      <w:r>
        <w:rPr>
          <w:rFonts w:ascii="Calibri" w:cs="Calibri" w:eastAsia="Calibri" w:hAnsi="Calibri"/>
          <w:sz w:val="22"/>
          <w:szCs w:val="22"/>
        </w:rPr>
        <w:t xml:space="preserve">Every learner has a unique cognitive-affective profile; one-size pedagogy is pedagogically and ethically indefensible.</w:t>
      </w:r>
    </w:p>
    <w:p>
      <w:pPr>
        <w:pStyle w:val="ListParagraph"/>
        <w:numPr>
          <w:ilvl w:val="0"/>
          <w:numId w:val="2"/>
        </w:numPr>
        <w:spacing w:after="80"/>
      </w:pPr>
      <w:r>
        <w:rPr>
          <w:rFonts w:ascii="Calibri" w:cs="Calibri" w:eastAsia="Calibri" w:hAnsi="Calibri"/>
          <w:sz w:val="22"/>
          <w:szCs w:val="22"/>
        </w:rPr>
        <w:t xml:space="preserve">Psychological data is sensitive personal data under the DPDP Act 2023 — collected only with granular, revocable consent, minimised, encrypted and never sold or used punitively.</w:t>
      </w:r>
    </w:p>
    <w:p>
      <w:pPr>
        <w:pStyle w:val="ListParagraph"/>
        <w:numPr>
          <w:ilvl w:val="0"/>
          <w:numId w:val="2"/>
        </w:numPr>
        <w:spacing w:after="80"/>
      </w:pPr>
      <w:r>
        <w:rPr>
          <w:rFonts w:ascii="Calibri" w:cs="Calibri" w:eastAsia="Calibri" w:hAnsi="Calibri"/>
          <w:sz w:val="22"/>
          <w:szCs w:val="22"/>
        </w:rPr>
        <w:t xml:space="preserve">The system augments teachers and counsellors; it never replaces human judgement on wellbeing decisions.</w:t>
      </w:r>
    </w:p>
    <w:p>
      <w:pPr>
        <w:pStyle w:val="ListParagraph"/>
        <w:numPr>
          <w:ilvl w:val="0"/>
          <w:numId w:val="2"/>
        </w:numPr>
        <w:spacing w:after="80"/>
      </w:pPr>
      <w:r>
        <w:rPr>
          <w:rFonts w:ascii="Calibri" w:cs="Calibri" w:eastAsia="Calibri" w:hAnsi="Calibri"/>
          <w:sz w:val="22"/>
          <w:szCs w:val="22"/>
        </w:rPr>
        <w:t xml:space="preserve">All algorithmic decisions (track assignment, remediation triggers, risk flags) are explainable and appealable.</w:t>
      </w:r>
    </w:p>
    <w:p>
      <w:pPr>
        <w:pStyle w:val="ListParagraph"/>
        <w:numPr>
          <w:ilvl w:val="0"/>
          <w:numId w:val="2"/>
        </w:numPr>
        <w:spacing w:after="80"/>
      </w:pPr>
      <w:r>
        <w:rPr>
          <w:rFonts w:ascii="Calibri" w:cs="Calibri" w:eastAsia="Calibri" w:hAnsi="Calibri"/>
          <w:sz w:val="22"/>
          <w:szCs w:val="22"/>
        </w:rPr>
        <w:t xml:space="preserve">NAAC receives aggregated, anonymised evidence of process — not individual psychological records.</w:t>
      </w:r>
    </w:p>
    <w:p>
      <w:pPr>
        <w:pStyle w:val="Heading2"/>
        <w:spacing w:after="120" w:before="240"/>
      </w:pPr>
      <w:r>
        <w:rPr>
          <w:rFonts w:ascii="Calibri" w:cs="Calibri" w:eastAsia="Calibri" w:hAnsi="Calibri"/>
          <w:b/>
          <w:bCs/>
          <w:color w:val="1F3864"/>
          <w:sz w:val="28"/>
          <w:szCs w:val="28"/>
        </w:rPr>
        <w:t xml:space="preserve">D.2 The Learner Digital Twin — Data Model</w:t>
      </w:r>
    </w:p>
    <w:p>
      <w:pPr>
        <w:spacing w:after="120"/>
      </w:pPr>
      <w:r>
        <w:rPr>
          <w:rFonts w:ascii="Calibri" w:cs="Calibri" w:eastAsia="Calibri" w:hAnsi="Calibri"/>
          <w:sz w:val="22"/>
          <w:szCs w:val="22"/>
        </w:rPr>
        <w:t xml:space="preserve">A per-student record composed of five interoperable layers: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560"/>
        <w:gridCol w:w="3000"/>
      </w:tblGrid>
      <w:tr>
        <w:trPr>
          <w:tblHeader/>
        </w:trPr>
        <w:tc>
          <w:tcPr>
            <w:tcW w:type="dxa" w:w="18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Layer</w:t>
            </w:r>
          </w:p>
        </w:tc>
        <w:tc>
          <w:tcPr>
            <w:tcW w:type="dxa" w:w="456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What it captures</w:t>
            </w:r>
          </w:p>
        </w:tc>
        <w:tc>
          <w:tcPr>
            <w:tcW w:type="dxa" w:w="30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Primary sources</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1. Cognitive</w:t>
            </w:r>
          </w:p>
        </w:tc>
        <w:tc>
          <w:tcPr>
            <w:tcW w:type="dxa" w:w="45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Baseline aptitude, Bloom-level mastery per CO, IRT ability estimate, misconception map</w:t>
            </w:r>
          </w:p>
        </w:tc>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Diagnostic tests, LMS quizzes, CO-tagged item bank</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2. Affective</w:t>
            </w:r>
          </w:p>
        </w:tc>
        <w:tc>
          <w:tcPr>
            <w:tcW w:type="dxa" w:w="45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Exam anxiety index, confidence calibration, engagement, motivation, stress signals</w:t>
            </w:r>
          </w:p>
        </w:tc>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Self-report scales, keystroke/interaction telemetry, optional webcam sentiment</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3. Behavioural</w:t>
            </w:r>
          </w:p>
        </w:tc>
        <w:tc>
          <w:tcPr>
            <w:tcW w:type="dxa" w:w="45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Study rhythm, attendance, time-on-task, help-seeking, submission patterns</w:t>
            </w:r>
          </w:p>
        </w:tc>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LMS xAPI, biometric attendance, library gate logs</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4. Preference</w:t>
            </w:r>
          </w:p>
        </w:tc>
        <w:tc>
          <w:tcPr>
            <w:tcW w:type="dxa" w:w="45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Learning style, modality preference (video/text/lab), pace, language of comfort</w:t>
            </w:r>
          </w:p>
        </w:tc>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Onboarding survey, revealed preference from LMS choices</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5. Psychometric</w:t>
            </w:r>
          </w:p>
        </w:tc>
        <w:tc>
          <w:tcPr>
            <w:tcW w:type="dxa" w:w="45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Big-Five, grit, self-efficacy, growth mindset, wellbeing (WHO-5)</w:t>
            </w:r>
          </w:p>
        </w:tc>
        <w:tc>
          <w:tcPr>
            <w:tcW w:type="dxa" w:w="30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Validated instruments administered each semester by counselling cell</w:t>
            </w:r>
          </w:p>
        </w:tc>
      </w:tr>
    </w:tbl>
    <w:p>
      <w:pPr>
        <w:pStyle w:val="Heading2"/>
        <w:spacing w:after="120" w:before="240"/>
      </w:pPr>
      <w:r>
        <w:rPr>
          <w:rFonts w:ascii="Calibri" w:cs="Calibri" w:eastAsia="Calibri" w:hAnsi="Calibri"/>
          <w:b/>
          <w:bCs/>
          <w:color w:val="1F3864"/>
          <w:sz w:val="28"/>
          <w:szCs w:val="28"/>
        </w:rPr>
        <w:t xml:space="preserve">D.3 Learner Segmentation — Beyond Slow/Fast</w:t>
      </w:r>
    </w:p>
    <w:p>
      <w:pPr>
        <w:spacing w:after="120"/>
      </w:pPr>
      <w:r>
        <w:rPr>
          <w:rFonts w:ascii="Calibri" w:cs="Calibri" w:eastAsia="Calibri" w:hAnsi="Calibri"/>
          <w:sz w:val="22"/>
          <w:szCs w:val="22"/>
        </w:rPr>
        <w:t xml:space="preserve">A two-axis segmentation replaces the crude slow/fast binary:</w:t>
      </w:r>
    </w:p>
    <w:p>
      <w:pPr>
        <w:pStyle w:val="ListParagraph"/>
        <w:numPr>
          <w:ilvl w:val="0"/>
          <w:numId w:val="2"/>
        </w:numPr>
        <w:spacing w:after="80"/>
      </w:pPr>
      <w:r>
        <w:rPr>
          <w:rFonts w:ascii="Calibri" w:cs="Calibri" w:eastAsia="Calibri" w:hAnsi="Calibri"/>
          <w:sz w:val="22"/>
          <w:szCs w:val="22"/>
        </w:rPr>
        <w:t xml:space="preserve">Axis 1 — Competence: below-threshold, at-threshold, above-threshold, mastery (derived from CO attainment + IRT theta).</w:t>
      </w:r>
    </w:p>
    <w:p>
      <w:pPr>
        <w:pStyle w:val="ListParagraph"/>
        <w:numPr>
          <w:ilvl w:val="0"/>
          <w:numId w:val="2"/>
        </w:numPr>
        <w:spacing w:after="80"/>
      </w:pPr>
      <w:r>
        <w:rPr>
          <w:rFonts w:ascii="Calibri" w:cs="Calibri" w:eastAsia="Calibri" w:hAnsi="Calibri"/>
          <w:sz w:val="22"/>
          <w:szCs w:val="22"/>
        </w:rPr>
        <w:t xml:space="preserve">Axis 2 — Confidence: under-confident, calibrated, over-confident (derived from predicted-vs-actual score gap and self-report).</w:t>
      </w:r>
    </w:p>
    <w:p>
      <w:pPr>
        <w:spacing w:after="120"/>
      </w:pPr>
      <w:r>
        <w:rPr>
          <w:rFonts w:ascii="Calibri" w:cs="Calibri" w:eastAsia="Calibri" w:hAnsi="Calibri"/>
          <w:sz w:val="22"/>
          <w:szCs w:val="22"/>
        </w:rPr>
        <w:t xml:space="preserve">The 3×4 grid yields twelve learner archetypes, each with a documented pedagogical playbook: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gridCol w:w="3360"/>
      </w:tblGrid>
      <w:tr>
        <w:trPr>
          <w:tblHeader/>
        </w:trPr>
        <w:tc>
          <w:tcPr>
            <w:tcW w:type="dxa" w:w="24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Archetype (example)</w:t>
            </w:r>
          </w:p>
        </w:tc>
        <w:tc>
          <w:tcPr>
            <w:tcW w:type="dxa" w:w="36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Signal</w:t>
            </w:r>
          </w:p>
        </w:tc>
        <w:tc>
          <w:tcPr>
            <w:tcW w:type="dxa" w:w="336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System response</w:t>
            </w:r>
          </w:p>
        </w:tc>
      </w:tr>
      <w:tr>
        <w:tc>
          <w:tcPr>
            <w:tcW w:type="dxa" w:w="24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Silent struggler</w:t>
            </w:r>
          </w:p>
        </w:tc>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Low competence + under-confident + low help-seeking</w:t>
            </w:r>
          </w:p>
        </w:tc>
        <w:tc>
          <w:tcPr>
            <w:tcW w:type="dxa" w:w="3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Auto-enrol in remedial track; mentor nudge; peer-buddy pairing</w:t>
            </w:r>
          </w:p>
        </w:tc>
      </w:tr>
      <w:tr>
        <w:tc>
          <w:tcPr>
            <w:tcW w:type="dxa" w:w="24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Fearful high-performer</w:t>
            </w:r>
          </w:p>
        </w:tc>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High competence + high anxiety + low classroom participation</w:t>
            </w:r>
          </w:p>
        </w:tc>
        <w:tc>
          <w:tcPr>
            <w:tcW w:type="dxa" w:w="3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Low-stakes formative practice; counsellor referral; graded exposure</w:t>
            </w:r>
          </w:p>
        </w:tc>
      </w:tr>
      <w:tr>
        <w:tc>
          <w:tcPr>
            <w:tcW w:type="dxa" w:w="24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Over-confident coaster</w:t>
            </w:r>
          </w:p>
        </w:tc>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Mid competence + over-confident + declining engagement</w:t>
            </w:r>
          </w:p>
        </w:tc>
        <w:tc>
          <w:tcPr>
            <w:tcW w:type="dxa" w:w="3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Stretch assignments; calibration quizzes; explicit feedback on gap</w:t>
            </w:r>
          </w:p>
        </w:tc>
      </w:tr>
      <w:tr>
        <w:tc>
          <w:tcPr>
            <w:tcW w:type="dxa" w:w="24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Fast learner plateauing</w:t>
            </w:r>
          </w:p>
        </w:tc>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High competence + falling engagement</w:t>
            </w:r>
          </w:p>
        </w:tc>
        <w:tc>
          <w:tcPr>
            <w:tcW w:type="dxa" w:w="3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Advanced electives, research/internship pipeline, honours track</w:t>
            </w:r>
          </w:p>
        </w:tc>
      </w:tr>
      <w:tr>
        <w:tc>
          <w:tcPr>
            <w:tcW w:type="dxa" w:w="24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At-risk (wellbeing)</w:t>
            </w:r>
          </w:p>
        </w:tc>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WHO-5 drop + attendance drop + submission drop</w:t>
            </w:r>
          </w:p>
        </w:tc>
        <w:tc>
          <w:tcPr>
            <w:tcW w:type="dxa" w:w="3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Immediate counsellor alert; academic load review; family loop with consent</w:t>
            </w:r>
          </w:p>
        </w:tc>
      </w:tr>
    </w:tbl>
    <w:p>
      <w:pPr>
        <w:pStyle w:val="Heading2"/>
        <w:spacing w:after="120" w:before="240"/>
      </w:pPr>
      <w:r>
        <w:rPr>
          <w:rFonts w:ascii="Calibri" w:cs="Calibri" w:eastAsia="Calibri" w:hAnsi="Calibri"/>
          <w:b/>
          <w:bCs/>
          <w:color w:val="1F3864"/>
          <w:sz w:val="28"/>
          <w:szCs w:val="28"/>
        </w:rPr>
        <w:t xml:space="preserve">D.4 Adaptive Learning Engine</w:t>
      </w:r>
    </w:p>
    <w:p>
      <w:pPr>
        <w:pStyle w:val="ListParagraph"/>
        <w:numPr>
          <w:ilvl w:val="0"/>
          <w:numId w:val="2"/>
        </w:numPr>
        <w:spacing w:after="80"/>
      </w:pPr>
      <w:r>
        <w:rPr>
          <w:rFonts w:ascii="Calibri" w:cs="Calibri" w:eastAsia="Calibri" w:hAnsi="Calibri"/>
          <w:sz w:val="22"/>
          <w:szCs w:val="22"/>
        </w:rPr>
        <w:t xml:space="preserve">IRT-based adaptive assessment: each question’s difficulty is chosen from the CO-tagged item bank to converge on the learner’s ability estimate in ~15 items.</w:t>
      </w:r>
    </w:p>
    <w:p>
      <w:pPr>
        <w:pStyle w:val="ListParagraph"/>
        <w:numPr>
          <w:ilvl w:val="0"/>
          <w:numId w:val="2"/>
        </w:numPr>
        <w:spacing w:after="80"/>
      </w:pPr>
      <w:r>
        <w:rPr>
          <w:rFonts w:ascii="Calibri" w:cs="Calibri" w:eastAsia="Calibri" w:hAnsi="Calibri"/>
          <w:sz w:val="22"/>
          <w:szCs w:val="22"/>
        </w:rPr>
        <w:t xml:space="preserve">Knowledge-graph remediation: on incorrect response, the engine walks the prerequisite graph and serves the shortest micro-lesson (video/text/simulation) that closes the gap.</w:t>
      </w:r>
    </w:p>
    <w:p>
      <w:pPr>
        <w:pStyle w:val="ListParagraph"/>
        <w:numPr>
          <w:ilvl w:val="0"/>
          <w:numId w:val="2"/>
        </w:numPr>
        <w:spacing w:after="80"/>
      </w:pPr>
      <w:r>
        <w:rPr>
          <w:rFonts w:ascii="Calibri" w:cs="Calibri" w:eastAsia="Calibri" w:hAnsi="Calibri"/>
          <w:sz w:val="22"/>
          <w:szCs w:val="22"/>
        </w:rPr>
        <w:t xml:space="preserve">Personalised study path per course: pace, modality and depth adjust weekly using the learner twin; teacher can override any recommendation.</w:t>
      </w:r>
    </w:p>
    <w:p>
      <w:pPr>
        <w:pStyle w:val="ListParagraph"/>
        <w:numPr>
          <w:ilvl w:val="0"/>
          <w:numId w:val="2"/>
        </w:numPr>
        <w:spacing w:after="80"/>
      </w:pPr>
      <w:r>
        <w:rPr>
          <w:rFonts w:ascii="Calibri" w:cs="Calibri" w:eastAsia="Calibri" w:hAnsi="Calibri"/>
          <w:sz w:val="22"/>
          <w:szCs w:val="22"/>
        </w:rPr>
        <w:t xml:space="preserve">LLM tutor with memory: subject-scoped, RAG-grounded on approved course material, remembers the learner’s misconceptions and confidence trajectory; refuses out-of-scope, wellbeing or crisis topics and routes those to human counsellors.</w:t>
      </w:r>
    </w:p>
    <w:p>
      <w:pPr>
        <w:pStyle w:val="ListParagraph"/>
        <w:numPr>
          <w:ilvl w:val="0"/>
          <w:numId w:val="2"/>
        </w:numPr>
        <w:spacing w:after="80"/>
      </w:pPr>
      <w:r>
        <w:rPr>
          <w:rFonts w:ascii="Calibri" w:cs="Calibri" w:eastAsia="Calibri" w:hAnsi="Calibri"/>
          <w:sz w:val="22"/>
          <w:szCs w:val="22"/>
        </w:rPr>
        <w:t xml:space="preserve">Group formation: heterogeneous teams composed algorithmically to pair complementary strengths and reduce social isolation.</w:t>
      </w:r>
    </w:p>
    <w:p>
      <w:pPr>
        <w:pStyle w:val="Heading2"/>
        <w:spacing w:after="120" w:before="240"/>
      </w:pPr>
      <w:r>
        <w:rPr>
          <w:rFonts w:ascii="Calibri" w:cs="Calibri" w:eastAsia="Calibri" w:hAnsi="Calibri"/>
          <w:b/>
          <w:bCs/>
          <w:color w:val="1F3864"/>
          <w:sz w:val="28"/>
          <w:szCs w:val="28"/>
        </w:rPr>
        <w:t xml:space="preserve">D.5 Affective &amp; Wellbeing Layer</w:t>
      </w:r>
    </w:p>
    <w:p>
      <w:pPr>
        <w:pStyle w:val="ListParagraph"/>
        <w:numPr>
          <w:ilvl w:val="0"/>
          <w:numId w:val="2"/>
        </w:numPr>
        <w:spacing w:after="80"/>
      </w:pPr>
      <w:r>
        <w:rPr>
          <w:rFonts w:ascii="Calibri" w:cs="Calibri" w:eastAsia="Calibri" w:hAnsi="Calibri"/>
          <w:sz w:val="22"/>
          <w:szCs w:val="22"/>
        </w:rPr>
        <w:t xml:space="preserve">Weekly 60-second self-report (mood, stress, sleep, workload) — mandatory instrument, optional free-text.</w:t>
      </w:r>
    </w:p>
    <w:p>
      <w:pPr>
        <w:pStyle w:val="ListParagraph"/>
        <w:numPr>
          <w:ilvl w:val="0"/>
          <w:numId w:val="2"/>
        </w:numPr>
        <w:spacing w:after="80"/>
      </w:pPr>
      <w:r>
        <w:rPr>
          <w:rFonts w:ascii="Calibri" w:cs="Calibri" w:eastAsia="Calibri" w:hAnsi="Calibri"/>
          <w:sz w:val="22"/>
          <w:szCs w:val="22"/>
        </w:rPr>
        <w:t xml:space="preserve">Passive engagement telemetry: idle time, tab-switching during exams (opt-in), assignment-lateness patterns.</w:t>
      </w:r>
    </w:p>
    <w:p>
      <w:pPr>
        <w:pStyle w:val="ListParagraph"/>
        <w:numPr>
          <w:ilvl w:val="0"/>
          <w:numId w:val="2"/>
        </w:numPr>
        <w:spacing w:after="80"/>
      </w:pPr>
      <w:r>
        <w:rPr>
          <w:rFonts w:ascii="Calibri" w:cs="Calibri" w:eastAsia="Calibri" w:hAnsi="Calibri"/>
          <w:sz w:val="22"/>
          <w:szCs w:val="22"/>
        </w:rPr>
        <w:t xml:space="preserve">Optional webcam-based affect detection during proctored sessions — off by default; institution must publish a policy and obtain explicit consent; raw video never stored, only aggregated affect scores.</w:t>
      </w:r>
    </w:p>
    <w:p>
      <w:pPr>
        <w:pStyle w:val="ListParagraph"/>
        <w:numPr>
          <w:ilvl w:val="0"/>
          <w:numId w:val="2"/>
        </w:numPr>
        <w:spacing w:after="80"/>
      </w:pPr>
      <w:r>
        <w:rPr>
          <w:rFonts w:ascii="Calibri" w:cs="Calibri" w:eastAsia="Calibri" w:hAnsi="Calibri"/>
          <w:sz w:val="22"/>
          <w:szCs w:val="22"/>
        </w:rPr>
        <w:t xml:space="preserve">Exam-fear index computed per assessment; students above threshold receive a pre-exam desensitisation module and, if persistent, counsellor referral.</w:t>
      </w:r>
    </w:p>
    <w:p>
      <w:pPr>
        <w:pStyle w:val="ListParagraph"/>
        <w:numPr>
          <w:ilvl w:val="0"/>
          <w:numId w:val="2"/>
        </w:numPr>
        <w:spacing w:after="80"/>
      </w:pPr>
      <w:r>
        <w:rPr>
          <w:rFonts w:ascii="Calibri" w:cs="Calibri" w:eastAsia="Calibri" w:hAnsi="Calibri"/>
          <w:sz w:val="22"/>
          <w:szCs w:val="22"/>
        </w:rPr>
        <w:t xml:space="preserve">Wellbeing dashboard for the counselling cell with tiered alerts (green/amber/red) and full audit log of every access.</w:t>
      </w:r>
    </w:p>
    <w:p>
      <w:pPr>
        <w:pStyle w:val="ListParagraph"/>
        <w:numPr>
          <w:ilvl w:val="0"/>
          <w:numId w:val="2"/>
        </w:numPr>
        <w:spacing w:after="80"/>
      </w:pPr>
      <w:r>
        <w:rPr>
          <w:rFonts w:ascii="Calibri" w:cs="Calibri" w:eastAsia="Calibri" w:hAnsi="Calibri"/>
          <w:sz w:val="22"/>
          <w:szCs w:val="22"/>
        </w:rPr>
        <w:t xml:space="preserve">Crisis protocol: red alerts trigger a documented human workflow within 24 hours; no automated action is taken on the learner.</w:t>
      </w:r>
    </w:p>
    <w:p>
      <w:pPr>
        <w:pStyle w:val="Heading2"/>
        <w:spacing w:after="120" w:before="240"/>
      </w:pPr>
      <w:r>
        <w:rPr>
          <w:rFonts w:ascii="Calibri" w:cs="Calibri" w:eastAsia="Calibri" w:hAnsi="Calibri"/>
          <w:b/>
          <w:bCs/>
          <w:color w:val="1F3864"/>
          <w:sz w:val="28"/>
          <w:szCs w:val="28"/>
        </w:rPr>
        <w:t xml:space="preserve">D.6 Strengths, Weaknesses &amp; Individual SWOT</w:t>
      </w:r>
    </w:p>
    <w:p>
      <w:pPr>
        <w:pStyle w:val="ListParagraph"/>
        <w:numPr>
          <w:ilvl w:val="0"/>
          <w:numId w:val="2"/>
        </w:numPr>
        <w:spacing w:after="80"/>
      </w:pPr>
      <w:r>
        <w:rPr>
          <w:rFonts w:ascii="Calibri" w:cs="Calibri" w:eastAsia="Calibri" w:hAnsi="Calibri"/>
          <w:sz w:val="22"/>
          <w:szCs w:val="22"/>
        </w:rPr>
        <w:t xml:space="preserve">Auto-generated per-semester SWOT from CO attainment, co-curricular ERP, internship feedback and psychometric deltas.</w:t>
      </w:r>
    </w:p>
    <w:p>
      <w:pPr>
        <w:pStyle w:val="ListParagraph"/>
        <w:numPr>
          <w:ilvl w:val="0"/>
          <w:numId w:val="2"/>
        </w:numPr>
        <w:spacing w:after="80"/>
      </w:pPr>
      <w:r>
        <w:rPr>
          <w:rFonts w:ascii="Calibri" w:cs="Calibri" w:eastAsia="Calibri" w:hAnsi="Calibri"/>
          <w:sz w:val="22"/>
          <w:szCs w:val="22"/>
        </w:rPr>
        <w:t xml:space="preserve">Reviewed and countersigned by the faculty mentor in a 20-minute one-to-one; student may annotate and dispute.</w:t>
      </w:r>
    </w:p>
    <w:p>
      <w:pPr>
        <w:pStyle w:val="ListParagraph"/>
        <w:numPr>
          <w:ilvl w:val="0"/>
          <w:numId w:val="2"/>
        </w:numPr>
        <w:spacing w:after="80"/>
      </w:pPr>
      <w:r>
        <w:rPr>
          <w:rFonts w:ascii="Calibri" w:cs="Calibri" w:eastAsia="Calibri" w:hAnsi="Calibri"/>
          <w:sz w:val="22"/>
          <w:szCs w:val="22"/>
        </w:rPr>
        <w:t xml:space="preserve">Feeds the Career &amp; Placement module (skills gap → targeted certifications on SWAYAM/NPTEL/N-LIST).</w:t>
      </w:r>
    </w:p>
    <w:p>
      <w:pPr>
        <w:pStyle w:val="ListParagraph"/>
        <w:numPr>
          <w:ilvl w:val="0"/>
          <w:numId w:val="2"/>
        </w:numPr>
        <w:spacing w:after="80"/>
      </w:pPr>
      <w:r>
        <w:rPr>
          <w:rFonts w:ascii="Calibri" w:cs="Calibri" w:eastAsia="Calibri" w:hAnsi="Calibri"/>
          <w:sz w:val="22"/>
          <w:szCs w:val="22"/>
        </w:rPr>
        <w:t xml:space="preserve">Exportable to the student’s DigiLocker as a signed “Learner Growth Report” — student-owned, portable across institutions.</w:t>
      </w:r>
    </w:p>
    <w:p>
      <w:pPr>
        <w:pStyle w:val="Heading2"/>
        <w:spacing w:after="120" w:before="240"/>
      </w:pPr>
      <w:r>
        <w:rPr>
          <w:rFonts w:ascii="Calibri" w:cs="Calibri" w:eastAsia="Calibri" w:hAnsi="Calibri"/>
          <w:b/>
          <w:bCs/>
          <w:color w:val="1F3864"/>
          <w:sz w:val="28"/>
          <w:szCs w:val="28"/>
        </w:rPr>
        <w:t xml:space="preserve">D.7 Teacher &amp; Counsellor Cockpit</w:t>
      </w:r>
    </w:p>
    <w:p>
      <w:pPr>
        <w:pStyle w:val="ListParagraph"/>
        <w:numPr>
          <w:ilvl w:val="0"/>
          <w:numId w:val="2"/>
        </w:numPr>
        <w:spacing w:after="80"/>
      </w:pPr>
      <w:r>
        <w:rPr>
          <w:rFonts w:ascii="Calibri" w:cs="Calibri" w:eastAsia="Calibri" w:hAnsi="Calibri"/>
          <w:sz w:val="22"/>
          <w:szCs w:val="22"/>
        </w:rPr>
        <w:t xml:space="preserve">Teacher view: class heatmap by archetype, CO attainment gaps, recommended interventions, one-click remedial batch creation.</w:t>
      </w:r>
    </w:p>
    <w:p>
      <w:pPr>
        <w:pStyle w:val="ListParagraph"/>
        <w:numPr>
          <w:ilvl w:val="0"/>
          <w:numId w:val="2"/>
        </w:numPr>
        <w:spacing w:after="80"/>
      </w:pPr>
      <w:r>
        <w:rPr>
          <w:rFonts w:ascii="Calibri" w:cs="Calibri" w:eastAsia="Calibri" w:hAnsi="Calibri"/>
          <w:sz w:val="22"/>
          <w:szCs w:val="22"/>
        </w:rPr>
        <w:t xml:space="preserve">Mentor view: mentee list with amber/red flags, meeting log, action items, follow-up SLAs.</w:t>
      </w:r>
    </w:p>
    <w:p>
      <w:pPr>
        <w:pStyle w:val="ListParagraph"/>
        <w:numPr>
          <w:ilvl w:val="0"/>
          <w:numId w:val="2"/>
        </w:numPr>
        <w:spacing w:after="80"/>
      </w:pPr>
      <w:r>
        <w:rPr>
          <w:rFonts w:ascii="Calibri" w:cs="Calibri" w:eastAsia="Calibri" w:hAnsi="Calibri"/>
          <w:sz w:val="22"/>
          <w:szCs w:val="22"/>
        </w:rPr>
        <w:t xml:space="preserve">Counsellor view: caseload, session notes (encrypted at rest, access-audited), referral network, outcome tracking.</w:t>
      </w:r>
    </w:p>
    <w:p>
      <w:pPr>
        <w:pStyle w:val="ListParagraph"/>
        <w:numPr>
          <w:ilvl w:val="0"/>
          <w:numId w:val="2"/>
        </w:numPr>
        <w:spacing w:after="80"/>
      </w:pPr>
      <w:r>
        <w:rPr>
          <w:rFonts w:ascii="Calibri" w:cs="Calibri" w:eastAsia="Calibri" w:hAnsi="Calibri"/>
          <w:sz w:val="22"/>
          <w:szCs w:val="22"/>
        </w:rPr>
        <w:t xml:space="preserve">HoD/Principal view: department-level aggregates only — no individual psychological data.</w:t>
      </w:r>
    </w:p>
    <w:p>
      <w:pPr>
        <w:pStyle w:val="Heading2"/>
        <w:spacing w:after="120" w:before="240"/>
      </w:pPr>
      <w:r>
        <w:rPr>
          <w:rFonts w:ascii="Calibri" w:cs="Calibri" w:eastAsia="Calibri" w:hAnsi="Calibri"/>
          <w:b/>
          <w:bCs/>
          <w:color w:val="1F3864"/>
          <w:sz w:val="28"/>
          <w:szCs w:val="28"/>
        </w:rPr>
        <w:t xml:space="preserve">D.8 Phased Rollout — 18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200"/>
        <w:gridCol w:w="6360"/>
      </w:tblGrid>
      <w:tr>
        <w:trPr>
          <w:tblHeader/>
        </w:trPr>
        <w:tc>
          <w:tcPr>
            <w:tcW w:type="dxa" w:w="18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Phase</w:t>
            </w:r>
          </w:p>
        </w:tc>
        <w:tc>
          <w:tcPr>
            <w:tcW w:type="dxa" w:w="12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Months</w:t>
            </w:r>
          </w:p>
        </w:tc>
        <w:tc>
          <w:tcPr>
            <w:tcW w:type="dxa" w:w="636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Key deliverables</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D-P1 Foundations</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M1–M3</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PLS &amp; psychology data policy, DPDP DPIA, consent architecture, counsellor cell strengthened, instrument selection (Big-Five, grit, WHO-5, exam-anxiety scale)</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D-P2 Diagnostic Baseline</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M4–M6</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Onboarding diagnostic battery for all learners, learner-twin schema live in data lake, mentor allocation and training</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D-P3 Adaptive Engine</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M7–M10</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IRT item calibration, knowledge-graph authoring per programme, adaptive quizzes in LMS, remediation micro-content library</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D-P4 Affective Layer</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M9–M12</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Weekly wellbeing pulse, passive telemetry with consent UI, exam-fear index, counsellor dashboard, crisis protocol drills</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D-P5 Archetypes &amp; Playbooks</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M11–M14</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Twelve-archetype segmentation in production, teacher cockpit, per-archetype pedagogical playbooks published</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D-P6 LLM Tutor &amp; SWOT</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M13–M16</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Subject-scoped RAG tutor with guardrails, auto-SWOT with mentor sign-off, DigiLocker Learner Growth Report</w:t>
            </w:r>
          </w:p>
        </w:tc>
      </w:tr>
      <w:tr>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D-P7 NAAC Evidence API</w:t>
            </w:r>
          </w:p>
        </w:tc>
        <w:tc>
          <w:tcPr>
            <w:tcW w:type="dxa" w:w="12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M15–M18</w:t>
            </w:r>
          </w:p>
        </w:tc>
        <w:tc>
          <w:tcPr>
            <w:tcW w:type="dxa" w:w="63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Aggregated, anonymised PLS metrics exposed via NAAC-ready API; independent DPDP audit; equity/bias audit of adaptive engine</w:t>
            </w:r>
          </w:p>
        </w:tc>
      </w:tr>
    </w:tbl>
    <w:p>
      <w:pPr>
        <w:pStyle w:val="Heading2"/>
        <w:spacing w:after="120" w:before="240"/>
      </w:pPr>
      <w:r>
        <w:rPr>
          <w:rFonts w:ascii="Calibri" w:cs="Calibri" w:eastAsia="Calibri" w:hAnsi="Calibri"/>
          <w:b/>
          <w:bCs/>
          <w:color w:val="1F3864"/>
          <w:sz w:val="28"/>
          <w:szCs w:val="28"/>
        </w:rPr>
        <w:t xml:space="preserve">D.9 NAAC Cross-Verification Hooks for Pillar 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NAAC concern</w:t>
            </w:r>
          </w:p>
        </w:tc>
        <w:tc>
          <w:tcPr>
            <w:tcW w:type="dxa" w:w="576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Machine-verifiable evidence PLS exposes</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Student-centric learning (Criterion 2)</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Percentage of courses with adaptive pathways; per-archetype coverage; mentor-meeting completion rate</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Slow learner / advanced learner policy (2.2.1)</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Auto-generated enrolment logs of remedial and honours tracks with pre/post attainment delta</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Mentor-mentee system (2.3.3)</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Meeting cadence, SWOT sign-off timestamps, action-item closure rate — all timestamped and signed</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Student satisfaction &amp; wellbeing (2.7, 7.1)</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Aggregated WHO-5 trend, counsellor caseload, closure of red alerts within SLA</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Attainment of POs/COs (2.6)</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Per-learner CO attainment feeding programme attainment; audit trail from item response to CO score</w:t>
            </w:r>
          </w:p>
        </w:tc>
      </w:tr>
      <w:tr>
        <w:tc>
          <w:tcPr>
            <w:tcW w:type="dxa" w:w="36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Ethical use of technology (7.1.10)</w:t>
            </w:r>
          </w:p>
        </w:tc>
        <w:tc>
          <w:tcPr>
            <w:tcW w:type="dxa" w:w="576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DPIA, consent ledger, bias-audit report, algorithmic-decision appeal register</w:t>
            </w:r>
          </w:p>
        </w:tc>
      </w:tr>
    </w:tbl>
    <w:p>
      <w:r>
        <w:br w:type="page"/>
      </w:r>
    </w:p>
    <w:p>
      <w:pPr>
        <w:pStyle w:val="Heading1"/>
        <w:spacing w:after="120" w:before="240"/>
      </w:pPr>
      <w:r>
        <w:rPr>
          <w:rFonts w:ascii="Calibri" w:cs="Calibri" w:eastAsia="Calibri" w:hAnsi="Calibri"/>
          <w:b/>
          <w:bCs/>
          <w:color w:val="1F3864"/>
          <w:sz w:val="32"/>
          <w:szCs w:val="32"/>
        </w:rPr>
        <w:t xml:space="preserve">Updates to Pillars B and C</w:t>
      </w:r>
    </w:p>
    <w:p>
      <w:pPr>
        <w:pStyle w:val="Heading2"/>
        <w:spacing w:after="120" w:before="240"/>
      </w:pPr>
      <w:r>
        <w:rPr>
          <w:rFonts w:ascii="Calibri" w:cs="Calibri" w:eastAsia="Calibri" w:hAnsi="Calibri"/>
          <w:b/>
          <w:bCs/>
          <w:color w:val="1F3864"/>
          <w:sz w:val="28"/>
          <w:szCs w:val="28"/>
        </w:rPr>
        <w:t xml:space="preserve">B — Digital Pedagogy: additions</w:t>
      </w:r>
    </w:p>
    <w:p>
      <w:pPr>
        <w:pStyle w:val="ListParagraph"/>
        <w:numPr>
          <w:ilvl w:val="0"/>
          <w:numId w:val="2"/>
        </w:numPr>
        <w:spacing w:after="80"/>
      </w:pPr>
      <w:r>
        <w:rPr>
          <w:rFonts w:ascii="Calibri" w:cs="Calibri" w:eastAsia="Calibri" w:hAnsi="Calibri"/>
          <w:sz w:val="22"/>
          <w:szCs w:val="22"/>
        </w:rPr>
        <w:t xml:space="preserve">xAPI event schema extended with affective and confidence fields (opt-in).</w:t>
      </w:r>
    </w:p>
    <w:p>
      <w:pPr>
        <w:pStyle w:val="ListParagraph"/>
        <w:numPr>
          <w:ilvl w:val="0"/>
          <w:numId w:val="2"/>
        </w:numPr>
        <w:spacing w:after="80"/>
      </w:pPr>
      <w:r>
        <w:rPr>
          <w:rFonts w:ascii="Calibri" w:cs="Calibri" w:eastAsia="Calibri" w:hAnsi="Calibri"/>
          <w:sz w:val="22"/>
          <w:szCs w:val="22"/>
        </w:rPr>
        <w:t xml:space="preserve">LMS course template must expose an “adaptive path” block wired to the PLS engine.</w:t>
      </w:r>
    </w:p>
    <w:p>
      <w:pPr>
        <w:pStyle w:val="ListParagraph"/>
        <w:numPr>
          <w:ilvl w:val="0"/>
          <w:numId w:val="2"/>
        </w:numPr>
        <w:spacing w:after="80"/>
      </w:pPr>
      <w:r>
        <w:rPr>
          <w:rFonts w:ascii="Calibri" w:cs="Calibri" w:eastAsia="Calibri" w:hAnsi="Calibri"/>
          <w:sz w:val="22"/>
          <w:szCs w:val="22"/>
        </w:rPr>
        <w:t xml:space="preserve">Faculty development weeks add modules on learner psychology, unconscious bias and inclusive design.</w:t>
      </w:r>
    </w:p>
    <w:p>
      <w:pPr>
        <w:pStyle w:val="ListParagraph"/>
        <w:numPr>
          <w:ilvl w:val="0"/>
          <w:numId w:val="2"/>
        </w:numPr>
        <w:spacing w:after="80"/>
      </w:pPr>
      <w:r>
        <w:rPr>
          <w:rFonts w:ascii="Calibri" w:cs="Calibri" w:eastAsia="Calibri" w:hAnsi="Calibri"/>
          <w:sz w:val="22"/>
          <w:szCs w:val="22"/>
        </w:rPr>
        <w:t xml:space="preserve">Blended-hours KPI split by learner archetype to expose engagement inequity.</w:t>
      </w:r>
    </w:p>
    <w:p>
      <w:pPr>
        <w:pStyle w:val="Heading2"/>
        <w:spacing w:after="120" w:before="240"/>
      </w:pPr>
      <w:r>
        <w:rPr>
          <w:rFonts w:ascii="Calibri" w:cs="Calibri" w:eastAsia="Calibri" w:hAnsi="Calibri"/>
          <w:b/>
          <w:bCs/>
          <w:color w:val="1F3864"/>
          <w:sz w:val="28"/>
          <w:szCs w:val="28"/>
        </w:rPr>
        <w:t xml:space="preserve">C — OBE Tracking: additions</w:t>
      </w:r>
    </w:p>
    <w:p>
      <w:pPr>
        <w:pStyle w:val="ListParagraph"/>
        <w:numPr>
          <w:ilvl w:val="0"/>
          <w:numId w:val="2"/>
        </w:numPr>
        <w:spacing w:after="80"/>
      </w:pPr>
      <w:r>
        <w:rPr>
          <w:rFonts w:ascii="Calibri" w:cs="Calibri" w:eastAsia="Calibri" w:hAnsi="Calibri"/>
          <w:sz w:val="22"/>
          <w:szCs w:val="22"/>
        </w:rPr>
        <w:t xml:space="preserve">CO attainment computed per learner, not only per cohort, and pushed to the learner twin.</w:t>
      </w:r>
    </w:p>
    <w:p>
      <w:pPr>
        <w:pStyle w:val="ListParagraph"/>
        <w:numPr>
          <w:ilvl w:val="0"/>
          <w:numId w:val="2"/>
        </w:numPr>
        <w:spacing w:after="80"/>
      </w:pPr>
      <w:r>
        <w:rPr>
          <w:rFonts w:ascii="Calibri" w:cs="Calibri" w:eastAsia="Calibri" w:hAnsi="Calibri"/>
          <w:sz w:val="22"/>
          <w:szCs w:val="22"/>
        </w:rPr>
        <w:t xml:space="preserve">Indirect assessments enriched with confidence-calibration items to distinguish knowing from feeling one knows.</w:t>
      </w:r>
    </w:p>
    <w:p>
      <w:pPr>
        <w:pStyle w:val="ListParagraph"/>
        <w:numPr>
          <w:ilvl w:val="0"/>
          <w:numId w:val="2"/>
        </w:numPr>
        <w:spacing w:after="80"/>
      </w:pPr>
      <w:r>
        <w:rPr>
          <w:rFonts w:ascii="Calibri" w:cs="Calibri" w:eastAsia="Calibri" w:hAnsi="Calibri"/>
          <w:sz w:val="22"/>
          <w:szCs w:val="22"/>
        </w:rPr>
        <w:t xml:space="preserve">Programme-attainment dashboard segments by archetype so equity gaps become visible to IQAC.</w:t>
      </w:r>
    </w:p>
    <w:p>
      <w:pPr>
        <w:pStyle w:val="ListParagraph"/>
        <w:numPr>
          <w:ilvl w:val="0"/>
          <w:numId w:val="2"/>
        </w:numPr>
        <w:spacing w:after="80"/>
      </w:pPr>
      <w:r>
        <w:rPr>
          <w:rFonts w:ascii="Calibri" w:cs="Calibri" w:eastAsia="Calibri" w:hAnsi="Calibri"/>
          <w:sz w:val="22"/>
          <w:szCs w:val="22"/>
        </w:rPr>
        <w:t xml:space="preserve">DigiLocker/blockchain anchoring now includes the Learner Growth Report alongside the transcript.</w:t>
      </w:r>
    </w:p>
    <w:p>
      <w:r>
        <w:br w:type="page"/>
      </w:r>
    </w:p>
    <w:p>
      <w:pPr>
        <w:pStyle w:val="Heading1"/>
        <w:spacing w:after="120" w:before="240"/>
      </w:pPr>
      <w:r>
        <w:rPr>
          <w:rFonts w:ascii="Calibri" w:cs="Calibri" w:eastAsia="Calibri" w:hAnsi="Calibri"/>
          <w:b/>
          <w:bCs/>
          <w:color w:val="1F3864"/>
          <w:sz w:val="32"/>
          <w:szCs w:val="32"/>
        </w:rPr>
        <w:t xml:space="preserve">24-Month Consolidated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900"/>
        <w:gridCol w:w="1800"/>
        <w:gridCol w:w="1800"/>
        <w:gridCol w:w="1780"/>
        <w:gridCol w:w="2380"/>
      </w:tblGrid>
      <w:tr>
        <w:trPr>
          <w:tblHeader/>
        </w:trPr>
        <w:tc>
          <w:tcPr>
            <w:tcW w:type="dxa" w:w="7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Quarter</w:t>
            </w:r>
          </w:p>
        </w:tc>
        <w:tc>
          <w:tcPr>
            <w:tcW w:type="dxa" w:w="9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Months</w:t>
            </w:r>
          </w:p>
        </w:tc>
        <w:tc>
          <w:tcPr>
            <w:tcW w:type="dxa" w:w="18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Pillar A</w:t>
            </w:r>
          </w:p>
        </w:tc>
        <w:tc>
          <w:tcPr>
            <w:tcW w:type="dxa" w:w="180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Pillar B</w:t>
            </w:r>
          </w:p>
        </w:tc>
        <w:tc>
          <w:tcPr>
            <w:tcW w:type="dxa" w:w="178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Pillar C</w:t>
            </w:r>
          </w:p>
        </w:tc>
        <w:tc>
          <w:tcPr>
            <w:tcW w:type="dxa" w:w="2380"/>
            <w:tcBorders>
              <w:top w:val="single" w:color="BFBFBF" w:sz="4"/>
              <w:left w:val="single" w:color="BFBFBF" w:sz="4"/>
              <w:bottom w:val="single" w:color="BFBFBF" w:sz="4"/>
              <w:right w:val="single" w:color="BFBFBF" w:sz="4"/>
            </w:tcBorders>
            <w:shd w:fill="1F3864" w:val="clear"/>
            <w:tcMar>
              <w:top w:type="dxa" w:w="80"/>
              <w:left w:type="dxa" w:w="120"/>
              <w:bottom w:type="dxa" w:w="80"/>
              <w:right w:type="dxa" w:w="120"/>
            </w:tcMar>
          </w:tcPr>
          <w:p>
            <w:r>
              <w:rPr>
                <w:rFonts w:ascii="Calibri" w:cs="Calibri" w:eastAsia="Calibri" w:hAnsi="Calibri"/>
                <w:b/>
                <w:bCs/>
                <w:color w:val="FFFFFF"/>
                <w:sz w:val="20"/>
                <w:szCs w:val="20"/>
              </w:rPr>
              <w:t xml:space="preserve">Pillar D (NEW)</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Q1</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M1–M3</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Audit, metadata</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Governance</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Policy, rubric</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Data policy, DPIA, consent</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Q2</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M4–M6</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DSpace / OAI-PMH</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LMS xAPI/LTI</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OBE module live</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Diagnostic baseline, learner twin</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Q3</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M7–M9</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Tagging, SSO</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Bloom training</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CO item banks</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Adaptive engine, IRT calibration</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Q4</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M10–M12</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JSON-LD, DOI</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Telemetry</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First OBE cycle</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Affective layer, wellbeing pulse</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Q5</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M13–M15</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DigiLocker push</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Adaptive + AI</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Indirect assess.</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Archetypes, teacher cockpit</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Q6</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M16–M18</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Analytics dashboards</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NAAC-ready API</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OBE API + anchor</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LLM tutor, SWOT, DigiLocker report</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Q7</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M19–M21</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Continuous improvement</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Equity KPIs</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Second full cycle</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NAAC evidence API live</w:t>
            </w:r>
          </w:p>
        </w:tc>
      </w:tr>
      <w:tr>
        <w:tc>
          <w:tcPr>
            <w:tcW w:type="dxa" w:w="7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Q8</w:t>
            </w:r>
          </w:p>
        </w:tc>
        <w:tc>
          <w:tcPr>
            <w:tcW w:type="dxa" w:w="9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M22–M24</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Mock virtual audit</w:t>
            </w:r>
          </w:p>
        </w:tc>
        <w:tc>
          <w:tcPr>
            <w:tcW w:type="dxa" w:w="180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Mock virtual audit</w:t>
            </w:r>
          </w:p>
        </w:tc>
        <w:tc>
          <w:tcPr>
            <w:tcW w:type="dxa" w:w="17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Mock virtual audit</w:t>
            </w:r>
          </w:p>
        </w:tc>
        <w:tc>
          <w:tcPr>
            <w:tcW w:type="dxa" w:w="2380"/>
            <w:tcBorders>
              <w:top w:val="single" w:color="BFBFBF" w:sz="4"/>
              <w:left w:val="single" w:color="BFBFBF" w:sz="4"/>
              <w:bottom w:val="single" w:color="BFBFBF" w:sz="4"/>
              <w:right w:val="single" w:color="BFBFBF" w:sz="4"/>
            </w:tcBorders>
            <w:tcMar>
              <w:top w:type="dxa" w:w="80"/>
              <w:left w:type="dxa" w:w="120"/>
              <w:bottom w:type="dxa" w:w="80"/>
              <w:right w:type="dxa" w:w="120"/>
            </w:tcMar>
          </w:tcPr>
          <w:p>
            <w:r>
              <w:rPr>
                <w:rFonts w:ascii="Calibri" w:cs="Calibri" w:eastAsia="Calibri" w:hAnsi="Calibri"/>
                <w:color w:val="000000"/>
                <w:sz w:val="20"/>
                <w:szCs w:val="20"/>
              </w:rPr>
              <w:t xml:space="preserve">DPDP + bias audit; mock virtual audit</w:t>
            </w:r>
          </w:p>
        </w:tc>
      </w:tr>
    </w:tbl>
    <w:p>
      <w:pPr>
        <w:pStyle w:val="Heading1"/>
        <w:spacing w:after="120" w:before="240"/>
      </w:pPr>
      <w:r>
        <w:rPr>
          <w:rFonts w:ascii="Calibri" w:cs="Calibri" w:eastAsia="Calibri" w:hAnsi="Calibri"/>
          <w:b/>
          <w:bCs/>
          <w:color w:val="1F3864"/>
          <w:sz w:val="32"/>
          <w:szCs w:val="32"/>
        </w:rPr>
        <w:t xml:space="preserve">Success Metrics — Version 2.0</w:t>
      </w:r>
    </w:p>
    <w:p>
      <w:pPr>
        <w:pStyle w:val="ListParagraph"/>
        <w:numPr>
          <w:ilvl w:val="0"/>
          <w:numId w:val="2"/>
        </w:numPr>
        <w:spacing w:after="80"/>
      </w:pPr>
      <w:r>
        <w:rPr>
          <w:rFonts w:ascii="Calibri" w:cs="Calibri" w:eastAsia="Calibri" w:hAnsi="Calibri"/>
          <w:sz w:val="22"/>
          <w:szCs w:val="22"/>
        </w:rPr>
        <w:t xml:space="preserve">100% of learners have an active learner-twin record with valid consent.</w:t>
      </w:r>
    </w:p>
    <w:p>
      <w:pPr>
        <w:pStyle w:val="ListParagraph"/>
        <w:numPr>
          <w:ilvl w:val="0"/>
          <w:numId w:val="2"/>
        </w:numPr>
        <w:spacing w:after="80"/>
      </w:pPr>
      <w:r>
        <w:rPr>
          <w:rFonts w:ascii="Calibri" w:cs="Calibri" w:eastAsia="Calibri" w:hAnsi="Calibri"/>
          <w:sz w:val="22"/>
          <w:szCs w:val="22"/>
        </w:rPr>
        <w:t xml:space="preserve">≥95% of courses expose at least one adaptive pathway; ≥80% of below-threshold learners are auto-enrolled in remediation within one week of signal.</w:t>
      </w:r>
    </w:p>
    <w:p>
      <w:pPr>
        <w:pStyle w:val="ListParagraph"/>
        <w:numPr>
          <w:ilvl w:val="0"/>
          <w:numId w:val="2"/>
        </w:numPr>
        <w:spacing w:after="80"/>
      </w:pPr>
      <w:r>
        <w:rPr>
          <w:rFonts w:ascii="Calibri" w:cs="Calibri" w:eastAsia="Calibri" w:hAnsi="Calibri"/>
          <w:sz w:val="22"/>
          <w:szCs w:val="22"/>
        </w:rPr>
        <w:t xml:space="preserve">CO attainment gap between slow and fast learners reduced by ≥30% over two cycles.</w:t>
      </w:r>
    </w:p>
    <w:p>
      <w:pPr>
        <w:pStyle w:val="ListParagraph"/>
        <w:numPr>
          <w:ilvl w:val="0"/>
          <w:numId w:val="2"/>
        </w:numPr>
        <w:spacing w:after="80"/>
      </w:pPr>
      <w:r>
        <w:rPr>
          <w:rFonts w:ascii="Calibri" w:cs="Calibri" w:eastAsia="Calibri" w:hAnsi="Calibri"/>
          <w:sz w:val="22"/>
          <w:szCs w:val="22"/>
        </w:rPr>
        <w:t xml:space="preserve">Exam-fear index reduced by ≥25% for students who complete the desensitisation module.</w:t>
      </w:r>
    </w:p>
    <w:p>
      <w:pPr>
        <w:pStyle w:val="ListParagraph"/>
        <w:numPr>
          <w:ilvl w:val="0"/>
          <w:numId w:val="2"/>
        </w:numPr>
        <w:spacing w:after="80"/>
      </w:pPr>
      <w:r>
        <w:rPr>
          <w:rFonts w:ascii="Calibri" w:cs="Calibri" w:eastAsia="Calibri" w:hAnsi="Calibri"/>
          <w:sz w:val="22"/>
          <w:szCs w:val="22"/>
        </w:rPr>
        <w:t xml:space="preserve">Mentor-mentee SWOT sign-off completed for ≥95% of learners each semester.</w:t>
      </w:r>
    </w:p>
    <w:p>
      <w:pPr>
        <w:pStyle w:val="ListParagraph"/>
        <w:numPr>
          <w:ilvl w:val="0"/>
          <w:numId w:val="2"/>
        </w:numPr>
        <w:spacing w:after="80"/>
      </w:pPr>
      <w:r>
        <w:rPr>
          <w:rFonts w:ascii="Calibri" w:cs="Calibri" w:eastAsia="Calibri" w:hAnsi="Calibri"/>
          <w:sz w:val="22"/>
          <w:szCs w:val="22"/>
        </w:rPr>
        <w:t xml:space="preserve">Red wellbeing alerts closed within 24 hours in 100% of cases; independent audit each year.</w:t>
      </w:r>
    </w:p>
    <w:p>
      <w:pPr>
        <w:pStyle w:val="ListParagraph"/>
        <w:numPr>
          <w:ilvl w:val="0"/>
          <w:numId w:val="2"/>
        </w:numPr>
        <w:spacing w:after="80"/>
      </w:pPr>
      <w:r>
        <w:rPr>
          <w:rFonts w:ascii="Calibri" w:cs="Calibri" w:eastAsia="Calibri" w:hAnsi="Calibri"/>
          <w:sz w:val="22"/>
          <w:szCs w:val="22"/>
        </w:rPr>
        <w:t xml:space="preserve">Zero unresolved DPDP complaints; annual algorithmic bias audit published.</w:t>
      </w:r>
    </w:p>
    <w:p>
      <w:pPr>
        <w:pStyle w:val="ListParagraph"/>
        <w:numPr>
          <w:ilvl w:val="0"/>
          <w:numId w:val="2"/>
        </w:numPr>
        <w:spacing w:after="80"/>
      </w:pPr>
      <w:r>
        <w:rPr>
          <w:rFonts w:ascii="Calibri" w:cs="Calibri" w:eastAsia="Calibri" w:hAnsi="Calibri"/>
          <w:sz w:val="22"/>
          <w:szCs w:val="22"/>
        </w:rPr>
        <w:t xml:space="preserve">NAAC evidence API returns aggregated, anonymised PLS metrics with &lt;24h freshness lag.</w:t>
      </w:r>
    </w:p>
    <w:p>
      <w:pPr>
        <w:pStyle w:val="Heading2"/>
        <w:spacing w:after="120" w:before="240"/>
      </w:pPr>
      <w:r>
        <w:rPr>
          <w:rFonts w:ascii="Calibri" w:cs="Calibri" w:eastAsia="Calibri" w:hAnsi="Calibri"/>
          <w:b/>
          <w:bCs/>
          <w:color w:val="1F3864"/>
          <w:sz w:val="28"/>
          <w:szCs w:val="28"/>
        </w:rPr>
        <w:t xml:space="preserve">Ethical Guardrails (Non-Negotiable)</w:t>
      </w:r>
    </w:p>
    <w:p>
      <w:pPr>
        <w:pStyle w:val="ListParagraph"/>
        <w:numPr>
          <w:ilvl w:val="0"/>
          <w:numId w:val="2"/>
        </w:numPr>
        <w:spacing w:after="80"/>
      </w:pPr>
      <w:r>
        <w:rPr>
          <w:rFonts w:ascii="Calibri" w:cs="Calibri" w:eastAsia="Calibri" w:hAnsi="Calibri"/>
          <w:sz w:val="22"/>
          <w:szCs w:val="22"/>
        </w:rPr>
        <w:t xml:space="preserve">No psychological data is used for grading, ranking, disciplinary action or placement filtering.</w:t>
      </w:r>
    </w:p>
    <w:p>
      <w:pPr>
        <w:pStyle w:val="ListParagraph"/>
        <w:numPr>
          <w:ilvl w:val="0"/>
          <w:numId w:val="2"/>
        </w:numPr>
        <w:spacing w:after="80"/>
      </w:pPr>
      <w:r>
        <w:rPr>
          <w:rFonts w:ascii="Calibri" w:cs="Calibri" w:eastAsia="Calibri" w:hAnsi="Calibri"/>
          <w:sz w:val="22"/>
          <w:szCs w:val="22"/>
        </w:rPr>
        <w:t xml:space="preserve">Students may opt out of any passive telemetry without academic penalty.</w:t>
      </w:r>
    </w:p>
    <w:p>
      <w:pPr>
        <w:pStyle w:val="ListParagraph"/>
        <w:numPr>
          <w:ilvl w:val="0"/>
          <w:numId w:val="2"/>
        </w:numPr>
        <w:spacing w:after="80"/>
      </w:pPr>
      <w:r>
        <w:rPr>
          <w:rFonts w:ascii="Calibri" w:cs="Calibri" w:eastAsia="Calibri" w:hAnsi="Calibri"/>
          <w:sz w:val="22"/>
          <w:szCs w:val="22"/>
        </w:rPr>
        <w:t xml:space="preserve">All algorithmic recommendations are advisory; a human educator or counsellor makes every consequential decision.</w:t>
      </w:r>
    </w:p>
    <w:p>
      <w:pPr>
        <w:pStyle w:val="ListParagraph"/>
        <w:numPr>
          <w:ilvl w:val="0"/>
          <w:numId w:val="2"/>
        </w:numPr>
        <w:spacing w:after="80"/>
      </w:pPr>
      <w:r>
        <w:rPr>
          <w:rFonts w:ascii="Calibri" w:cs="Calibri" w:eastAsia="Calibri" w:hAnsi="Calibri"/>
          <w:sz w:val="22"/>
          <w:szCs w:val="22"/>
        </w:rPr>
        <w:t xml:space="preserve">Data minimisation: raw affective signals are discarded after aggregation; only derived indices persist.</w:t>
      </w:r>
    </w:p>
    <w:p>
      <w:pPr>
        <w:pStyle w:val="ListParagraph"/>
        <w:numPr>
          <w:ilvl w:val="0"/>
          <w:numId w:val="2"/>
        </w:numPr>
        <w:spacing w:after="80"/>
      </w:pPr>
      <w:r>
        <w:rPr>
          <w:rFonts w:ascii="Calibri" w:cs="Calibri" w:eastAsia="Calibri" w:hAnsi="Calibri"/>
          <w:sz w:val="22"/>
          <w:szCs w:val="22"/>
        </w:rPr>
        <w:t xml:space="preserve">Annual third-party audit of consent, bias, security and wellbeing outcomes; report tabled at IQAC and shared with NAAC.</w:t>
      </w:r>
    </w:p>
    <w:p>
      <w:pPr>
        <w:pStyle w:val="Heading2"/>
        <w:spacing w:after="120" w:before="240"/>
      </w:pPr>
      <w:r>
        <w:rPr>
          <w:rFonts w:ascii="Calibri" w:cs="Calibri" w:eastAsia="Calibri" w:hAnsi="Calibri"/>
          <w:b/>
          <w:bCs/>
          <w:color w:val="1F3864"/>
          <w:sz w:val="28"/>
          <w:szCs w:val="28"/>
        </w:rPr>
        <w:t xml:space="preserve">Closing Note</w:t>
      </w:r>
    </w:p>
    <w:p>
      <w:pPr>
        <w:spacing w:after="120"/>
      </w:pPr>
      <w:r>
        <w:rPr>
          <w:rFonts w:ascii="Calibri" w:cs="Calibri" w:eastAsia="Calibri" w:hAnsi="Calibri"/>
          <w:sz w:val="22"/>
          <w:szCs w:val="22"/>
        </w:rPr>
        <w:t xml:space="preserve">An accreditation framework that measures buildings, bandwidth and bulk pass percentages while ignoring the fear in a first-generation learner’s stomach or the boredom of a fast learner starved of challenge is not measuring education. Pillar D closes that gap and makes the psychological life of the learner a first-class, auditable citizen of NAAC virtual accreditation — without ever weaponising that data against the learner it is meant to serve.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8"/>
        <w:szCs w:val="18"/>
      </w:rPr>
      <w:t xml:space="preserve">NAAC Virtual Accreditation Roadmap v2 — Page </w:t>
    </w:r>
    <w:r>
      <w:rPr>
        <w:rFonts w:ascii="Calibri" w:cs="Calibri" w:eastAsia="Calibri" w:hAnsi="Calibri"/>
        <w:color w:val="8080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Calibri" w:cs="Calibri" w:eastAsia="Calibri" w:hAnsi="Calibri"/>
      <w:b/>
      <w:bCs/>
      <w:color w:val="1F3864"/>
      <w:sz w:val="32"/>
      <w:szCs w:val="32"/>
    </w:rPr>
  </w:style>
  <w:style w:type="paragraph" w:styleId="Heading2">
    <w:name w:val="Heading 2"/>
    <w:basedOn w:val="Normal"/>
    <w:next w:val="Normal"/>
    <w:qFormat/>
    <w:pPr>
      <w:spacing w:after="120" w:before="240"/>
      <w:outlineLvl w:val="1"/>
    </w:pPr>
    <w:rPr>
      <w:rFonts w:ascii="Calibri" w:cs="Calibri" w:eastAsia="Calibri" w:hAnsi="Calibri"/>
      <w:b/>
      <w:bCs/>
      <w:color w:val="2E74B5"/>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NAAC Virtual Accreditation Roadmap v2</dc:title>
  <dc:creator>IQAC</dc:creator>
  <cp:lastModifiedBy>Un-named</cp:lastModifiedBy>
  <cp:revision>1</cp:revision>
  <dcterms:created xsi:type="dcterms:W3CDTF">2026-07-04T00:11:12.111Z</dcterms:created>
  <dcterms:modified xsi:type="dcterms:W3CDTF">2026-07-04T00:11:12.112Z</dcterms:modified>
</cp:coreProperties>
</file>

<file path=docProps/custom.xml><?xml version="1.0" encoding="utf-8"?>
<Properties xmlns="http://schemas.openxmlformats.org/officeDocument/2006/custom-properties" xmlns:vt="http://schemas.openxmlformats.org/officeDocument/2006/docPropsVTypes"/>
</file>