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NAAC Virtual Accreditation</w:t>
      </w:r>
    </w:p>
    <w:p>
      <w:pPr>
        <w:spacing w:after="240"/>
      </w:pPr>
      <w:r>
        <w:rPr>
          <w:color w:val="6B7280"/>
          <w:sz w:val="28"/>
          <w:szCs w:val="28"/>
        </w:rPr>
        <w:t xml:space="preserve">Roadmap for 500 Universities &amp; 5,000 Colleges + CO-PO-PSO Attainment Report</w:t>
      </w:r>
    </w:p>
    <w:p>
      <w:pPr>
        <w:spacing w:after="120"/>
        <w:rPr>
          <w:color w:val="6B7280"/>
        </w:rPr>
      </w:pPr>
      <w:r>
        <w:rPr>
          <w:color w:val="6B7280"/>
        </w:rPr>
        <w:t xml:space="preserve">Prepared with the Lovable OBE Toolkit — an AI-assisted, outcome-based education tracker aligned with NAAC and NBA norms.</w:t>
      </w:r>
    </w:p>
    <w:p>
      <w:pPr>
        <w:spacing w:after="120"/>
        <w:rPr>
          <w:color w:val="6B7280"/>
        </w:rPr>
      </w:pPr>
      <w:r>
        <w:rPr>
          <w:color w:val="6B7280"/>
        </w:rPr>
        <w:t xml:space="preserve">Date: 2026-07-03</w:t>
      </w:r>
    </w:p>
    <w:p>
      <w:pPr>
        <w:pStyle w:val="Heading1"/>
        <w:spacing w:after="160" w:before="320"/>
      </w:pPr>
      <w:r>
        <w:t xml:space="preserve">1. Executive Summary</w:t>
      </w:r>
    </w:p>
    <w:p>
      <w:pPr>
        <w:spacing w:after="120"/>
      </w:pPr>
      <w:r>
        <w:t xml:space="preserve">NAAC's ambition to virtually accredit 500 universities and 5,000 colleges requires machine-to-machine data pipes, cross-agency verification, tamper-evident storage, and AI-assisted assessors. This document presents (a) a seven-phase implementation roadmap, and (b) a worked CO-PO-PSO attainment report for a sample course, illustrating the outcome-based education layer that anchors Criterion 2.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Corruption is deterred by removing human retyping and by triangulating HEI submissions against AISHE, EPFO, Scopus, PFMS, DigiLocker.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Blockchain anchoring makes silent edits impossible; algorithmic assessor allocation kills capture.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Continuous accreditation replaces the five-year cleanup window.</w:t>
      </w:r>
    </w:p>
    <w:p>
      <w:pPr>
        <w:pStyle w:val="Heading1"/>
        <w:spacing w:after="160" w:before="320"/>
      </w:pPr>
      <w:r>
        <w:t xml:space="preserve">2. Implementation Roadmap</w:t>
      </w:r>
    </w:p>
    <w:p>
      <w:pPr>
        <w:pStyle w:val="Heading2"/>
        <w:spacing w:after="120" w:before="240"/>
      </w:pPr>
      <w:r>
        <w:t xml:space="preserve">Phase 1 — Foundation (Months 0–3)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Governance, standards, and legal scaffolding.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Regulatory alignment: Map NAAC's 7 criteria plus SSR/AQAR data points to a single canonical schema. Align with NEP 2020, AICTE, UGC, AISHE, NAD/DigiLocker, ABC, Samarth ERP.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Data standards: Publish an open NAAC Data Exchange Spec (JSON Schema + CSV templates).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Identity: Mandate DigiLocker + Aadhaar-based faculty/student identity and APAAR ID for learners.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Legal: DPDP Act 2023 compliance, consent artefacts, MoUs with UGC/AICTE/NBA.</w:t>
      </w:r>
    </w:p>
    <w:p>
      <w:pPr>
        <w:pStyle w:val="Heading2"/>
        <w:spacing w:after="120" w:before="240"/>
      </w:pPr>
      <w:r>
        <w:t xml:space="preserve">Phase 2 — Data Ingestion Layer (Months 3–8)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Automated, tamper-evident pipes from HEIs to NAAC data lake.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APIs over uploads: Connectors for Samarth, ERP vendors, and LMS (Moodle, Google Classroom).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Bronze/Silver/Gold data lake on cloud (MeghRaj/NIC or in-country hyperscaler).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Immutable audit trail: hash each submission and anchor on a permissioned blockchain.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Real-time streams via Kafka for attendance, exams, placements.</w:t>
      </w:r>
    </w:p>
    <w:p>
      <w:pPr>
        <w:pStyle w:val="Heading2"/>
        <w:spacing w:after="120" w:before="240"/>
      </w:pPr>
      <w:r>
        <w:t xml:space="preserve">Phase 3 — Verification &amp; Anti-Fraud Engine (Months 6–12)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Detect fabricated data before human peer teams see it.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Cross-validation against AISHE, NAD/DigiLocker, EPFO, Scopus, PFMS.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ML anomaly detection (Isolation Forest, autoencoders) on ratios and outliers.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NLP on SSR narratives to detect boilerplate and LLM-generated text.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Computer vision on infra photos: geo-tag, reverse image search, ISRO Bhuvan overlay.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Institution-level fraud risk score drives audit intensity.</w:t>
      </w:r>
    </w:p>
    <w:p>
      <w:pPr>
        <w:pStyle w:val="Heading2"/>
        <w:spacing w:after="120" w:before="240"/>
      </w:pPr>
      <w:r>
        <w:t xml:space="preserve">Phase 4 — Outcome-Based Education Tracking (Months 9–15)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Move from input metrics to actual learning outcomes.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CO-PO-PSO mapping engine with automatic attainment computation.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Longitudinal learner analytics: attendance, assessment, LMS engagement, projects.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Skill graph aligned to NSQF and industry taxonomies.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Employability tracking via APAAR ID linked to EPFO and NCS.</w:t>
      </w:r>
    </w:p>
    <w:p>
      <w:pPr>
        <w:pStyle w:val="Heading2"/>
        <w:spacing w:after="120" w:before="240"/>
      </w:pPr>
      <w:r>
        <w:t xml:space="preserve">Phase 5 — AI Assessor Copilot (Months 12–18)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Augment peer teams and make virtual visits credible.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RAG-based assessor assistant grounded on the HEI's verified data lake.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Auto-drafted Peer Team Report sections with confidence scores.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Virtual visit toolkit: 360° walkthrough, tamper-proof live labs, algorithmic sampling of interviews.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Assessor rotation and conflict-of-interest engine via graph database.</w:t>
      </w:r>
    </w:p>
    <w:p>
      <w:pPr>
        <w:pStyle w:val="Heading2"/>
        <w:spacing w:after="120" w:before="240"/>
      </w:pPr>
      <w:r>
        <w:t xml:space="preserve">Phase 6 — Transparency &amp; Grievance (Months 15–20)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Public trust and corruption deterrence.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Public dashboards of every HEI's key metrics and grade rationale.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Encrypted whistleblower portal routed to an independent ombudsman.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Assessor scorecards and inter-rater reliability tracking.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Appeals with full data trail proven by blockchain hash.</w:t>
      </w:r>
    </w:p>
    <w:p>
      <w:pPr>
        <w:pStyle w:val="Heading2"/>
        <w:spacing w:after="120" w:before="240"/>
      </w:pPr>
      <w:r>
        <w:t xml:space="preserve">Phase 7 — Scale &amp; Continuous Accreditation (Months 18+)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Always-on accreditation and open research data.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Shift from five-year cycle to annual live-data grade refresh.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Onboard remaining HEIs in cohorts of 500 per quarter.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Publish anonymised datasets for policy research.</w:t>
      </w:r>
    </w:p>
    <w:p>
      <w:pPr>
        <w:pStyle w:val="Heading2"/>
        <w:spacing w:after="120" w:before="240"/>
      </w:pPr>
      <w:r>
        <w:t xml:space="preserve">2.8 Key Anti-Corruption Levers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Lever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Effect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Machine-to-machine data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Removes human retyping and 'data massage'.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Cross-agency triangulation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HEI cannot lie to NAAC if AISHE / EPFO / Scopus disagree.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Blockchain anchoring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No silent edits to previously submitted data.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Algorithmic assessor allocation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Prevents assessor capture and repeat pairings.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Public dashboards + whistleblower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Sunlight and independent grievance path.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Continuous accreditation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No pre-visit cleanup window.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3. CO-PO-PSO Attainment Report (Sample Course)</w:t>
      </w:r>
    </w:p>
    <w:p>
      <w:pPr>
        <w:spacing w:after="80"/>
      </w:pPr>
      <w:r>
        <w:rPr>
          <w:b/>
          <w:bCs/>
        </w:rPr>
        <w:t xml:space="preserve">Course: </w:t>
      </w:r>
      <w:r>
        <w:t xml:space="preserve">CS301 — Data Structures</w:t>
      </w:r>
    </w:p>
    <w:p>
      <w:pPr>
        <w:spacing w:after="80"/>
      </w:pPr>
      <w:r>
        <w:rPr>
          <w:b/>
          <w:bCs/>
        </w:rPr>
        <w:t xml:space="preserve">Cohort size: </w:t>
      </w:r>
      <w:r>
        <w:t xml:space="preserve">30 students</w:t>
      </w:r>
    </w:p>
    <w:p>
      <w:pPr>
        <w:spacing w:after="80"/>
      </w:pPr>
      <w:r>
        <w:rPr>
          <w:b/>
          <w:bCs/>
        </w:rPr>
        <w:t xml:space="preserve">Threshold: </w:t>
      </w:r>
      <w:r>
        <w:t xml:space="preserve">60% of maximum marks per student</w:t>
      </w:r>
    </w:p>
    <w:p>
      <w:pPr>
        <w:spacing w:after="80"/>
      </w:pPr>
      <w:r>
        <w:rPr>
          <w:b/>
          <w:bCs/>
        </w:rPr>
        <w:t xml:space="preserve">Level bands: </w:t>
      </w:r>
      <w:r>
        <w:t xml:space="preserve">Level 1 ≥ 40% students, Level 2 ≥ 60%, Level 3 ≥ 70%</w:t>
      </w:r>
    </w:p>
    <w:p>
      <w:pPr>
        <w:spacing w:after="80"/>
      </w:pPr>
      <w:r>
        <w:rPr>
          <w:b/>
          <w:bCs/>
        </w:rPr>
        <w:t xml:space="preserve">Target attainment: </w:t>
      </w:r>
      <w:r>
        <w:t xml:space="preserve">2.00 (out of 3)</w:t>
      </w:r>
    </w:p>
    <w:p>
      <w:pPr>
        <w:pStyle w:val="Heading2"/>
        <w:spacing w:after="120" w:before="240"/>
      </w:pPr>
      <w:r>
        <w:t xml:space="preserve">3.1 Course Outcomes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900"/>
        <w:gridCol w:w="900"/>
        <w:gridCol w:w="900"/>
        <w:gridCol w:w="1260"/>
        <w:gridCol w:w="1500"/>
      </w:tblGrid>
      <w:tr>
        <w:trPr>
          <w:tblHeader/>
        </w:trP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3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Students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Mean %</w:t>
            </w:r>
          </w:p>
        </w:tc>
        <w:tc>
          <w:tcPr>
            <w:tcW w:type="dxa" w:w="1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% ≥ threshold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Level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CO1</w:t>
            </w:r>
          </w:p>
        </w:tc>
        <w:tc>
          <w:tcPr>
            <w:tcW w:type="dxa" w:w="3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Explain fundamental concepts and terminology.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72.0</w:t>
            </w:r>
          </w:p>
        </w:tc>
        <w:tc>
          <w:tcPr>
            <w:tcW w:type="dxa" w:w="1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80.0%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FA07A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CO2</w:t>
            </w:r>
          </w:p>
        </w:tc>
        <w:tc>
          <w:tcPr>
            <w:tcW w:type="dxa" w:w="3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Apply techniques to solve standard problems.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65.5</w:t>
            </w:r>
          </w:p>
        </w:tc>
        <w:tc>
          <w:tcPr>
            <w:tcW w:type="dxa" w:w="1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63.3%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CO3</w:t>
            </w:r>
          </w:p>
        </w:tc>
        <w:tc>
          <w:tcPr>
            <w:tcW w:type="dxa" w:w="3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Analyze systems and interpret results.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78.2</w:t>
            </w:r>
          </w:p>
        </w:tc>
        <w:tc>
          <w:tcPr>
            <w:tcW w:type="dxa" w:w="1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86.7%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FA07A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CO4</w:t>
            </w:r>
          </w:p>
        </w:tc>
        <w:tc>
          <w:tcPr>
            <w:tcW w:type="dxa" w:w="3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Design solutions for real-world problems.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58.1</w:t>
            </w:r>
          </w:p>
        </w:tc>
        <w:tc>
          <w:tcPr>
            <w:tcW w:type="dxa" w:w="1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43.3%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B45309"/>
                <w:sz w:val="20"/>
                <w:szCs w:val="20"/>
              </w:rPr>
              <w:t xml:space="preserve">1</w:t>
            </w:r>
          </w:p>
        </w:tc>
      </w:tr>
    </w:tbl>
    <w:p>
      <w:pPr>
        <w:pStyle w:val="Heading2"/>
        <w:spacing w:after="120" w:before="240"/>
      </w:pPr>
      <w:r>
        <w:t xml:space="preserve">3.2 CO ↔ PO / PSO Mapping</w:t>
      </w:r>
    </w:p>
    <w:p>
      <w:pPr>
        <w:spacing w:after="120"/>
        <w:rPr>
          <w:i/>
          <w:iCs/>
          <w:color w:val="6B7280"/>
        </w:rPr>
      </w:pPr>
      <w:r>
        <w:rPr>
          <w:i/>
          <w:iCs/>
          <w:color w:val="6B7280"/>
        </w:rPr>
        <w:t xml:space="preserve">Correlation strength: 0 = none, 1 = low, 2 = medium, 3 = high.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blHeader/>
        </w:trP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PO4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PO5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PSO1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PSO2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3C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3C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3C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3C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CO4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3C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BEAF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16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</w:tr>
    </w:tbl>
    <w:p>
      <w:pPr>
        <w:pStyle w:val="Heading2"/>
        <w:spacing w:after="120" w:before="240"/>
      </w:pPr>
      <w:r>
        <w:t xml:space="preserve">3.3 PO / PSO Attainment Roll-Up</w:t>
      </w:r>
    </w:p>
    <w:p>
      <w:pPr>
        <w:spacing w:after="120"/>
      </w:pPr>
      <w:r>
        <w:t xml:space="preserve">Formula: PO attainment = Σ (mapping weight × CO level) / Σ (mapping weight).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560"/>
        <w:gridCol w:w="900"/>
        <w:gridCol w:w="1300"/>
        <w:gridCol w:w="1300"/>
        <w:gridCol w:w="1300"/>
      </w:tblGrid>
      <w:tr>
        <w:trPr>
          <w:tblHeader/>
        </w:trP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Code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Kind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Attainment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PO1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Engineering Knowledge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2.63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65F46"/>
                <w:sz w:val="20"/>
                <w:szCs w:val="20"/>
              </w:rPr>
              <w:t xml:space="preserve">Met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PO2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Problem Analysis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2.30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65F46"/>
                <w:sz w:val="20"/>
                <w:szCs w:val="20"/>
              </w:rPr>
              <w:t xml:space="preserve">Met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PO3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Design/Development of Solutions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2.13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65F46"/>
                <w:sz w:val="20"/>
                <w:szCs w:val="20"/>
              </w:rPr>
              <w:t xml:space="preserve">Met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PO4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Investigation of Complex Problems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2.25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65F46"/>
                <w:sz w:val="20"/>
                <w:szCs w:val="20"/>
              </w:rPr>
              <w:t xml:space="preserve">Met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PO5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Modern Tool Usage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1.83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E2E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991B1B"/>
                <w:sz w:val="20"/>
                <w:szCs w:val="20"/>
              </w:rPr>
              <w:t xml:space="preserve">Gap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PSO1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Domain-Specific Application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PSO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2.50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65F46"/>
                <w:sz w:val="20"/>
                <w:szCs w:val="20"/>
              </w:rPr>
              <w:t xml:space="preserve">Met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PSO2</w:t>
            </w:r>
          </w:p>
        </w:tc>
        <w:tc>
          <w:tcPr>
            <w:tcW w:type="dxa" w:w="3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Professional Practice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PSO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2.10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2.00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D1FAD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65F46"/>
                <w:sz w:val="20"/>
                <w:szCs w:val="20"/>
              </w:rPr>
              <w:t xml:space="preserve">Met</w:t>
            </w:r>
          </w:p>
        </w:tc>
      </w:tr>
    </w:tbl>
    <w:p>
      <w:pPr>
        <w:pStyle w:val="Heading2"/>
        <w:spacing w:after="120" w:before="240"/>
      </w:pPr>
      <w:r>
        <w:t xml:space="preserve">3.4 Gap Analysis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PO5 (Modern Tool Usage) is below target at 1.83 versus 2.00. Root cause: CO4 (Design) attained only Level 1 because 43.3% of students crossed the 60% threshold. Action: introduce tool-based mini-projects and reassess in the next cycle.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CO4 needs remedial intervention — 17 of 30 students scored below the threshold in the End Semester assessment mapped to it.</w:t>
      </w:r>
    </w:p>
    <w:p>
      <w:pPr>
        <w:pStyle w:val="Heading2"/>
        <w:spacing w:after="120" w:before="240"/>
      </w:pPr>
      <w:r>
        <w:t xml:space="preserve">3.5 Methodology</w:t>
      </w:r>
    </w:p>
    <w:p>
      <w:pPr>
        <w:spacing w:after="120"/>
      </w:pPr>
      <w:r>
        <w:t xml:space="preserve">Per-student weighted % across assessments → % of students meeting the threshold → CO level (0–3) → PO/PSO attainment via weighted map.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Direct assessment: internal tests, assignments, end-semester exam (weights configurable per CO).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Indirect assessment (recommended addition): exit survey and employer feedback, combined at 80/20 with direct scores.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Continuous monitoring: recompute at each assessment event; store versioned snapshots for accreditation audits.</w:t>
      </w:r>
    </w:p>
    <w:p>
      <w:r>
        <w:br w:type="page"/>
      </w:r>
    </w:p>
    <w:p>
      <w:pPr>
        <w:pStyle w:val="Heading1"/>
        <w:spacing w:after="160" w:before="320"/>
      </w:pPr>
      <w:r>
        <w:t xml:space="preserve">Appendix A — Suggested Technology Stack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rPr>
          <w:tblHeader/>
        </w:trP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5FBA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Choice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Ingestion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Kafka, Airbyte, Apache NiFi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Storage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S3 + Delta Lake / Iceberg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Processing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Spark, dbt, Flink (streams)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ML/AI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PyTorch, scikit-learn, LangChain + Indic LLMs (Sarvam, Krutrim)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Identity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DigiLocker, APAAR, Aadhaar eKYC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Trust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Hyperledger Fabric audit anchoring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App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TanStack Start / Next.js + FastAPI microservices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Hosting</w:t>
            </w:r>
          </w:p>
        </w:tc>
        <w:tc>
          <w:tcPr>
            <w:tcW w:type="dxa" w:w="68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MeghRaj / NIC Cloud, sovereign region</w:t>
            </w:r>
          </w:p>
        </w:tc>
      </w:tr>
    </w:tbl>
    <w:p>
      <w:pPr>
        <w:pStyle w:val="Heading1"/>
        <w:spacing w:after="160" w:before="320"/>
      </w:pPr>
      <w:r>
        <w:t xml:space="preserve">Appendix B — Data Schema Highlights</w:t>
      </w:r>
    </w:p>
    <w:p>
      <w:pPr>
        <w:spacing w:after="80"/>
      </w:pPr>
      <w:r>
        <w:rPr>
          <w:b/>
          <w:bCs/>
        </w:rPr>
        <w:t xml:space="preserve">Learner: </w:t>
      </w:r>
      <w:r>
        <w:t xml:space="preserve">APAAR ID, name, program, semester, attendance %, assessments[].</w:t>
      </w:r>
    </w:p>
    <w:p>
      <w:pPr>
        <w:spacing w:after="80"/>
      </w:pPr>
      <w:r>
        <w:rPr>
          <w:b/>
          <w:bCs/>
        </w:rPr>
        <w:t xml:space="preserve">Assessment: </w:t>
      </w:r>
      <w:r>
        <w:t xml:space="preserve">id, course, CO ref, max marks, weight, per-student marks[].</w:t>
      </w:r>
    </w:p>
    <w:p>
      <w:pPr>
        <w:spacing w:after="80"/>
      </w:pPr>
      <w:r>
        <w:rPr>
          <w:b/>
          <w:bCs/>
        </w:rPr>
        <w:t xml:space="preserve">CO/PO/PSO: </w:t>
      </w:r>
      <w:r>
        <w:t xml:space="preserve">code, description, kind, mapping matrix (0–3).</w:t>
      </w:r>
    </w:p>
    <w:p>
      <w:pPr>
        <w:spacing w:after="80"/>
      </w:pPr>
      <w:r>
        <w:rPr>
          <w:b/>
          <w:bCs/>
        </w:rPr>
        <w:t xml:space="preserve">Audit anchor: </w:t>
      </w:r>
      <w:r>
        <w:t xml:space="preserve">SHA-256 of the daily HEI submission plus blockchain tx hash.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Page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8"/>
        <w:szCs w:val="18"/>
      </w:rPr>
      <w:t xml:space="preserve"> of </w:t>
    </w:r>
    <w:r>
      <w:rPr>
        <w:color w:val="6B72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B7280"/>
        <w:sz w:val="18"/>
        <w:szCs w:val="18"/>
      </w:rPr>
      <w:t xml:space="preserve">NAAC Virtual Accreditation — OBE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 w:before="0"/>
    </w:pPr>
    <w:rPr>
      <w:rFonts w:ascii="Calibri" w:cs="Calibri" w:eastAsia="Calibri" w:hAnsi="Calibri"/>
      <w:b/>
      <w:bCs/>
      <w:color w:val="2E5FBA"/>
      <w:sz w:val="44"/>
      <w:szCs w:val="44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Calibri" w:cs="Calibri" w:eastAsia="Calibri" w:hAnsi="Calibri"/>
      <w:b/>
      <w:bCs/>
      <w:color w:val="2E5FB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Calibri" w:cs="Calibri" w:eastAsia="Calibri" w:hAnsi="Calibri"/>
      <w:b/>
      <w:bCs/>
      <w:color w:val="1F2937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Calibri" w:cs="Calibri" w:eastAsia="Calibri" w:hAnsi="Calibri"/>
      <w:b/>
      <w:bCs/>
      <w:color w:val="1FA07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NAAC Virtual Accreditation Roadmap &amp; CO-PO-PSO Attainment Report</dc:title>
  <dc:creator>Lovable OBE Toolkit</dc:creator>
  <cp:lastModifiedBy>Un-named</cp:lastModifiedBy>
  <cp:revision>1</cp:revision>
  <dcterms:created xsi:type="dcterms:W3CDTF">2026-07-03T12:15:39.171Z</dcterms:created>
  <dcterms:modified xsi:type="dcterms:W3CDTF">2026-07-03T12:15:39.171Z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