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F4E79"/>
          <w:sz w:val="36"/>
          <w:szCs w:val="36"/>
        </w:rPr>
        <w:t xml:space="preserve">Syllabus Analytical Audit — University of Mumbai (CDOE/IDOL)</w:t>
      </w:r>
    </w:p>
    <w:p>
      <w:pPr>
        <w:spacing w:after="240"/>
        <w:jc w:val="center"/>
      </w:pPr>
      <w:r>
        <w:rPr>
          <w:i/>
          <w:iCs/>
          <w:sz w:val="22"/>
          <w:szCs w:val="22"/>
        </w:rPr>
        <w:t xml:space="preserve">Reviewed against UGC Regulations · NEP 2020 · NAAC SSR · Bloom's Taxonomy · Digital Pedagogy &amp; Outcome Tracking</w:t>
      </w:r>
    </w:p>
    <w:p>
      <w:pPr>
        <w:pStyle w:val="Heading1"/>
        <w:spacing w:after="120" w:before="200"/>
      </w:pPr>
      <w:r>
        <w:rPr>
          <w:b/>
          <w:bCs/>
          <w:color w:val="1F4E79"/>
          <w:sz w:val="32"/>
          <w:szCs w:val="32"/>
        </w:rPr>
        <w:t xml:space="preserve">1. Accreditation Status of the University</w:t>
      </w:r>
    </w:p>
    <w:tbl>
      <w:tblPr>
        <w:tblW w:type="dxa" w:w="14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11000"/>
      </w:tblGrid>
      <w:tr>
        <w:trPr>
          <w:tblHeader/>
        </w:trPr>
        <w:tc>
          <w:tcPr>
            <w:tcW w:type="dxa" w:w="3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4E79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Parameter</w:t>
            </w:r>
          </w:p>
        </w:tc>
        <w:tc>
          <w:tcPr>
            <w:tcW w:type="dxa" w:w="11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4E79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Status</w:t>
            </w:r>
          </w:p>
        </w:tc>
      </w:tr>
      <w:tr>
        <w:tc>
          <w:tcPr>
            <w:tcW w:type="dxa" w:w="3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University</w:t>
            </w:r>
          </w:p>
        </w:tc>
        <w:tc>
          <w:tcPr>
            <w:tcW w:type="dxa" w:w="11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University of Mumbai (Est. 1857)</w:t>
            </w:r>
          </w:p>
        </w:tc>
      </w:tr>
      <w:tr>
        <w:tc>
          <w:tcPr>
            <w:tcW w:type="dxa" w:w="3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UGC Recognition</w:t>
            </w:r>
          </w:p>
        </w:tc>
        <w:tc>
          <w:tcPr>
            <w:tcW w:type="dxa" w:w="11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Recognised under Section 2(f) &amp; 12(B) of the UGC Act, 1956</w:t>
            </w:r>
          </w:p>
        </w:tc>
      </w:tr>
      <w:tr>
        <w:tc>
          <w:tcPr>
            <w:tcW w:type="dxa" w:w="3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NAAC Accreditation</w:t>
            </w:r>
          </w:p>
        </w:tc>
        <w:tc>
          <w:tcPr>
            <w:tcW w:type="dxa" w:w="11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Accredited by NAAC — Grade A++ (CGPA 3.65, 4th Cycle, 2023, valid up to 2028)</w:t>
            </w:r>
          </w:p>
        </w:tc>
      </w:tr>
      <w:tr>
        <w:tc>
          <w:tcPr>
            <w:tcW w:type="dxa" w:w="3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NIRF Ranking 2024</w:t>
            </w:r>
          </w:p>
        </w:tc>
        <w:tc>
          <w:tcPr>
            <w:tcW w:type="dxa" w:w="11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Universities category — within top 100 (Rank #56)</w:t>
            </w:r>
          </w:p>
        </w:tc>
      </w:tr>
      <w:tr>
        <w:tc>
          <w:tcPr>
            <w:tcW w:type="dxa" w:w="3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NBA</w:t>
            </w:r>
          </w:p>
        </w:tc>
        <w:tc>
          <w:tcPr>
            <w:tcW w:type="dxa" w:w="11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Not applicable for these non-technical PG programmes</w:t>
            </w:r>
          </w:p>
        </w:tc>
      </w:tr>
      <w:tr>
        <w:tc>
          <w:tcPr>
            <w:tcW w:type="dxa" w:w="3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Affiliation Authority</w:t>
            </w:r>
          </w:p>
        </w:tc>
        <w:tc>
          <w:tcPr>
            <w:tcW w:type="dxa" w:w="11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State University under Maharashtra Public Universities Act, 2016</w:t>
            </w:r>
          </w:p>
        </w:tc>
      </w:tr>
      <w:tr>
        <w:tc>
          <w:tcPr>
            <w:tcW w:type="dxa" w:w="3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Delivery Mode of these syllabi</w:t>
            </w:r>
          </w:p>
        </w:tc>
        <w:tc>
          <w:tcPr>
            <w:tcW w:type="dxa" w:w="11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CDOE / IDOL (Centre for Distance and Online Education) — UGC-DEB recognised</w:t>
            </w:r>
          </w:p>
        </w:tc>
      </w:tr>
    </w:tbl>
    <w:p>
      <w:pPr>
        <w:pStyle w:val="Heading1"/>
        <w:spacing w:after="120" w:before="200"/>
      </w:pPr>
      <w:r>
        <w:rPr>
          <w:b/>
          <w:bCs/>
          <w:color w:val="1F4E79"/>
          <w:sz w:val="32"/>
          <w:szCs w:val="32"/>
        </w:rPr>
        <w:t xml:space="preserve">2. Comparative Snapshot of the Ten Syllabi</w:t>
      </w:r>
    </w:p>
    <w:p>
      <w:pPr>
        <w:spacing w:after="80"/>
      </w:pPr>
      <w:r>
        <w:rPr>
          <w:i/>
          <w:iCs/>
          <w:sz w:val="18"/>
          <w:szCs w:val="18"/>
        </w:rPr>
        <w:t xml:space="preserve">Theory vs Application percentages are estimated from declared credit-hour distribution, presence/absence of practicum units and assessment design.</w:t>
      </w:r>
    </w:p>
    <w:tbl>
      <w:tblPr>
        <w:tblW w:type="dxa" w:w="14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1600"/>
        <w:gridCol w:w="1900"/>
        <w:gridCol w:w="2700"/>
        <w:gridCol w:w="2400"/>
        <w:gridCol w:w="2400"/>
      </w:tblGrid>
      <w:tr>
        <w:trPr>
          <w:tblHeader/>
        </w:trPr>
        <w:tc>
          <w:tcPr>
            <w:tcW w:type="dxa" w:w="3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4E79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Syllabus (Programme · Paper · Semester)</w:t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4E79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Regulatory Frame</w:t>
            </w:r>
          </w:p>
        </w:tc>
        <w:tc>
          <w:tcPr>
            <w:tcW w:type="dxa" w:w="1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4E79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Theory : Application %</w:t>
            </w:r>
          </w:p>
        </w:tc>
        <w:tc>
          <w:tcPr>
            <w:tcW w:type="dxa" w:w="2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4E79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Strengths</w:t>
            </w:r>
          </w:p>
        </w:tc>
        <w:tc>
          <w:tcPr>
            <w:tcW w:type="dxa" w:w="2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4E79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Weaknesses</w:t>
            </w:r>
          </w:p>
        </w:tc>
        <w:tc>
          <w:tcPr>
            <w:tcW w:type="dxa" w:w="2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4E79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Shortcomings / Recommendation</w:t>
            </w:r>
          </w:p>
        </w:tc>
      </w:tr>
      <w:tr>
        <w:tc>
          <w:tcPr>
            <w:tcW w:type="dxa" w:w="3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M.A. CJ – PR in Private &amp; Public Sector (Sem III)</w:t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CBCS (pre-NEP)</w:t>
            </w:r>
          </w:p>
        </w:tc>
        <w:tc>
          <w:tcPr>
            <w:tcW w:type="dxa" w:w="1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Theory 90% / Application 10%</w:t>
            </w:r>
          </w:p>
        </w:tc>
        <w:tc>
          <w:tcPr>
            <w:tcW w:type="dxa" w:w="2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9 thematic units, case-driven</w:t>
            </w:r>
          </w:p>
        </w:tc>
        <w:tc>
          <w:tcPr>
            <w:tcW w:type="dxa" w:w="2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No CO mapping, no credit/hour table, no rubric, no digital pedagogy</w:t>
            </w:r>
          </w:p>
        </w:tc>
        <w:tc>
          <w:tcPr>
            <w:tcW w:type="dxa" w:w="2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Add CO-PO matrix, practicum, LMS quizzes, plagiarism check</w:t>
            </w:r>
          </w:p>
        </w:tc>
      </w:tr>
      <w:tr>
        <w:tc>
          <w:tcPr>
            <w:tcW w:type="dxa" w:w="3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M.A. CJ – Communication Studies (Sem I)</w:t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NEP 2020</w:t>
            </w:r>
          </w:p>
        </w:tc>
        <w:tc>
          <w:tcPr>
            <w:tcW w:type="dxa" w:w="1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Theory 85% / Application 15%</w:t>
            </w:r>
          </w:p>
        </w:tc>
        <w:tc>
          <w:tcPr>
            <w:tcW w:type="dxa" w:w="2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5 COs stated, broad theoretical map, APA references</w:t>
            </w:r>
          </w:p>
        </w:tc>
        <w:tc>
          <w:tcPr>
            <w:tcW w:type="dxa" w:w="2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COs not Bloom-tagged; no practicum hours; no digital assessment</w:t>
            </w:r>
          </w:p>
        </w:tc>
        <w:tc>
          <w:tcPr>
            <w:tcW w:type="dxa" w:w="2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Map COs to Bloom levels; add GitHub portfolios, ELN, Moodle quizzes</w:t>
            </w:r>
          </w:p>
        </w:tc>
      </w:tr>
      <w:tr>
        <w:tc>
          <w:tcPr>
            <w:tcW w:type="dxa" w:w="3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MMS – Managerial Communication (Sem I)</w:t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NEP 2020</w:t>
            </w:r>
          </w:p>
        </w:tc>
        <w:tc>
          <w:tcPr>
            <w:tcW w:type="dxa" w:w="1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Theory 60% / Application 40%</w:t>
            </w:r>
          </w:p>
        </w:tc>
        <w:tc>
          <w:tcPr>
            <w:tcW w:type="dxa" w:w="2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5 COs, CO-Unit mapping, hours per unit, AI-tools mention</w:t>
            </w:r>
          </w:p>
        </w:tc>
        <w:tc>
          <w:tcPr>
            <w:tcW w:type="dxa" w:w="2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No co-tagged digital assessment; pedagogy generic (lecture/role-play)</w:t>
            </w:r>
          </w:p>
        </w:tc>
        <w:tc>
          <w:tcPr>
            <w:tcW w:type="dxa" w:w="2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Add countdown LMS quizzes, digital viva, presentation rubrics</w:t>
            </w:r>
          </w:p>
        </w:tc>
      </w:tr>
      <w:tr>
        <w:tc>
          <w:tcPr>
            <w:tcW w:type="dxa" w:w="3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MMS – Business Statistics (Sem I)</w:t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NEP 2020</w:t>
            </w:r>
          </w:p>
        </w:tc>
        <w:tc>
          <w:tcPr>
            <w:tcW w:type="dxa" w:w="1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Theory 70% / Application 30%</w:t>
            </w:r>
          </w:p>
        </w:tc>
        <w:tc>
          <w:tcPr>
            <w:tcW w:type="dxa" w:w="2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6 COs (Bloom verbs: Recall→Develop), CO mapping, includes a Practical unit</w:t>
            </w:r>
          </w:p>
        </w:tc>
        <w:tc>
          <w:tcPr>
            <w:tcW w:type="dxa" w:w="2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Practical only 3 hrs; no software named; no dataset repo; no GitHub portfolio</w:t>
            </w:r>
          </w:p>
        </w:tc>
        <w:tc>
          <w:tcPr>
            <w:tcW w:type="dxa" w:w="2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Mandate Python/R/SPSS labs, ELN, dataset versioning on GitHub</w:t>
            </w:r>
          </w:p>
        </w:tc>
      </w:tr>
      <w:tr>
        <w:tc>
          <w:tcPr>
            <w:tcW w:type="dxa" w:w="3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M.A. CJ/PR – Preparing a PR Campaign (Sem I, Open Elective)</w:t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NEP 2020</w:t>
            </w:r>
          </w:p>
        </w:tc>
        <w:tc>
          <w:tcPr>
            <w:tcW w:type="dxa" w:w="1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Theory 40% / Application 60% (120 Practical hrs)</w:t>
            </w:r>
          </w:p>
        </w:tc>
        <w:tc>
          <w:tcPr>
            <w:tcW w:type="dxa" w:w="2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Strong practical orientation, 5 COs, Indian case studies</w:t>
            </w:r>
          </w:p>
        </w:tc>
        <w:tc>
          <w:tcPr>
            <w:tcW w:type="dxa" w:w="2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COs not Bloom-graded; assessment rubric absent; no digital tracking</w:t>
            </w:r>
          </w:p>
        </w:tc>
        <w:tc>
          <w:tcPr>
            <w:tcW w:type="dxa" w:w="2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Add campaign portfolio on GitHub/Behance, peer-review rubric, plagiarism scan</w:t>
            </w:r>
          </w:p>
        </w:tc>
      </w:tr>
      <w:tr>
        <w:tc>
          <w:tcPr>
            <w:tcW w:type="dxa" w:w="3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M.A. Geography – Climate Change, Oceans &amp; Terrestrial Ecosystem (Sem III)</w:t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NEP 2020</w:t>
            </w:r>
          </w:p>
        </w:tc>
        <w:tc>
          <w:tcPr>
            <w:tcW w:type="dxa" w:w="1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Theory 100% / Application 0%</w:t>
            </w:r>
          </w:p>
        </w:tc>
        <w:tc>
          <w:tcPr>
            <w:tcW w:type="dxa" w:w="2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2 COs, clear unit structure, current topic, CIE/ESE split</w:t>
            </w:r>
          </w:p>
        </w:tc>
        <w:tc>
          <w:tcPr>
            <w:tcW w:type="dxa" w:w="2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Zero practicals despite data-rich field; no GIS/RS lab; no ELN</w:t>
            </w:r>
          </w:p>
        </w:tc>
        <w:tc>
          <w:tcPr>
            <w:tcW w:type="dxa" w:w="2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Add QGIS labs, climate-model notebooks, field practicum, digital viva</w:t>
            </w:r>
          </w:p>
        </w:tc>
      </w:tr>
      <w:tr>
        <w:tc>
          <w:tcPr>
            <w:tcW w:type="dxa" w:w="3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M.A. Geography – Advanced Physical Geography III (Sem III)</w:t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NEP 2020</w:t>
            </w:r>
          </w:p>
        </w:tc>
        <w:tc>
          <w:tcPr>
            <w:tcW w:type="dxa" w:w="1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Theory 100% / Application 0%</w:t>
            </w:r>
          </w:p>
        </w:tc>
        <w:tc>
          <w:tcPr>
            <w:tcW w:type="dxa" w:w="2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6 COs, broad coverage of geomorphic &amp; oceanic systems</w:t>
            </w:r>
          </w:p>
        </w:tc>
        <w:tc>
          <w:tcPr>
            <w:tcW w:type="dxa" w:w="2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COs overlap (CO1=CO5); no practical credits; no digital tracking</w:t>
            </w:r>
          </w:p>
        </w:tc>
        <w:tc>
          <w:tcPr>
            <w:tcW w:type="dxa" w:w="2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De-duplicate COs; add map-lab credits, hazard simulation, Moodle quizzes</w:t>
            </w:r>
          </w:p>
        </w:tc>
      </w:tr>
      <w:tr>
        <w:tc>
          <w:tcPr>
            <w:tcW w:type="dxa" w:w="3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M.A. Geography – Advanced Physical Geography IV (Sem IV)</w:t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NEP 2020</w:t>
            </w:r>
          </w:p>
        </w:tc>
        <w:tc>
          <w:tcPr>
            <w:tcW w:type="dxa" w:w="1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Theory 100% / Application 0%</w:t>
            </w:r>
          </w:p>
        </w:tc>
        <w:tc>
          <w:tcPr>
            <w:tcW w:type="dxa" w:w="2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4 COs, geohazards &amp; groundwater relevance</w:t>
            </w:r>
          </w:p>
        </w:tc>
        <w:tc>
          <w:tcPr>
            <w:tcW w:type="dxa" w:w="2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Unit 4 syllabus drift (population content under Groundwater unit); no practical</w:t>
            </w:r>
          </w:p>
        </w:tc>
        <w:tc>
          <w:tcPr>
            <w:tcW w:type="dxa" w:w="2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Fix unit-content mismatch; add groundwater modelling lab</w:t>
            </w:r>
          </w:p>
        </w:tc>
      </w:tr>
      <w:tr>
        <w:tc>
          <w:tcPr>
            <w:tcW w:type="dxa" w:w="3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M.A. Economics – Growth &amp; Development Economics (Sem III)</w:t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NEP 2020</w:t>
            </w:r>
          </w:p>
        </w:tc>
        <w:tc>
          <w:tcPr>
            <w:tcW w:type="dxa" w:w="1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Theory 95% / Application 5%</w:t>
            </w:r>
          </w:p>
        </w:tc>
        <w:tc>
          <w:tcPr>
            <w:tcW w:type="dxa" w:w="2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4 modules, classical references, conceptual depth</w:t>
            </w:r>
          </w:p>
        </w:tc>
        <w:tc>
          <w:tcPr>
            <w:tcW w:type="dxa" w:w="2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No COs listed; no CO-Bloom mapping; no data-handling lab</w:t>
            </w:r>
          </w:p>
        </w:tc>
        <w:tc>
          <w:tcPr>
            <w:tcW w:type="dxa" w:w="2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Add COs with Bloom verbs; econometrics practicum (R/Stata), GitHub repo</w:t>
            </w:r>
          </w:p>
        </w:tc>
      </w:tr>
      <w:tr>
        <w:tc>
          <w:tcPr>
            <w:tcW w:type="dxa" w:w="3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M.A. CJ – Digital Media Marketing (Sem III)</w:t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CBCS (pre-NEP)</w:t>
            </w:r>
          </w:p>
        </w:tc>
        <w:tc>
          <w:tcPr>
            <w:tcW w:type="dxa" w:w="1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Theory 55% / Application 45%</w:t>
            </w:r>
          </w:p>
        </w:tc>
        <w:tc>
          <w:tcPr>
            <w:tcW w:type="dxa" w:w="2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Weekly plan, contemporary tools (SEO/SEM/SMO), case studies</w:t>
            </w:r>
          </w:p>
        </w:tc>
        <w:tc>
          <w:tcPr>
            <w:tcW w:type="dxa" w:w="2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No COs; no Bloom mapping; no digital assessment rubric; no plagiarism policy</w:t>
            </w:r>
          </w:p>
        </w:tc>
        <w:tc>
          <w:tcPr>
            <w:tcW w:type="dxa" w:w="2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Add COs, live-campaign practicum, analytics dashboards, ELN</w:t>
            </w:r>
          </w:p>
        </w:tc>
      </w:tr>
    </w:tbl>
    <w:p>
      <w:pPr>
        <w:pStyle w:val="Heading1"/>
        <w:spacing w:after="120" w:before="200"/>
      </w:pPr>
      <w:r>
        <w:rPr>
          <w:b/>
          <w:bCs/>
          <w:color w:val="1F4E79"/>
          <w:sz w:val="32"/>
          <w:szCs w:val="32"/>
        </w:rPr>
        <w:t xml:space="preserve">3. Strengths Across the Ten Syllabi</w:t>
      </w:r>
    </w:p>
    <w:p>
      <w:pPr>
        <w:pStyle w:val="ListParagraph"/>
        <w:numPr>
          <w:ilvl w:val="0"/>
          <w:numId w:val="2"/>
        </w:numPr>
        <w:spacing w:after="40"/>
      </w:pPr>
      <w:r>
        <w:t xml:space="preserve">Post-2024 syllabi (MMS, MACJ-NEP, Geography) explicitly state NEP 2020 alignment with credit-hour distribution and CIE/ESE marks split.</w:t>
      </w:r>
    </w:p>
    <w:p>
      <w:pPr>
        <w:pStyle w:val="ListParagraph"/>
        <w:numPr>
          <w:ilvl w:val="0"/>
          <w:numId w:val="2"/>
        </w:numPr>
        <w:spacing w:after="40"/>
      </w:pPr>
      <w:r>
        <w:t xml:space="preserve">Course Outcomes (COs) declared in 7 of 10 syllabi; MMS Business Statistics correctly uses Bloom verbs (Recall, Understand, Apply, Analyze, Compare, Develop).</w:t>
      </w:r>
    </w:p>
    <w:p>
      <w:pPr>
        <w:pStyle w:val="ListParagraph"/>
        <w:numPr>
          <w:ilvl w:val="0"/>
          <w:numId w:val="2"/>
        </w:numPr>
        <w:spacing w:after="40"/>
      </w:pPr>
      <w:r>
        <w:t xml:space="preserve">Contemporary and socially relevant themes — Climate Change, Digital Media Marketing, PR Campaigns, Geohazards, CSR, Swachh Bharat / Jan Dhan case studies.</w:t>
      </w:r>
    </w:p>
    <w:p>
      <w:pPr>
        <w:pStyle w:val="ListParagraph"/>
        <w:numPr>
          <w:ilvl w:val="0"/>
          <w:numId w:val="2"/>
        </w:numPr>
        <w:spacing w:after="40"/>
      </w:pPr>
      <w:r>
        <w:t xml:space="preserve">References use APA 6th edition; reading lists are reasonably current (2010-2024).</w:t>
      </w:r>
    </w:p>
    <w:p>
      <w:pPr>
        <w:pStyle w:val="ListParagraph"/>
        <w:numPr>
          <w:ilvl w:val="0"/>
          <w:numId w:val="2"/>
        </w:numPr>
        <w:spacing w:after="40"/>
      </w:pPr>
      <w:r>
        <w:t xml:space="preserve">PR Campaign course is 120 practical hours — a genuinely application-oriented design.</w:t>
      </w:r>
    </w:p>
    <w:p>
      <w:pPr>
        <w:pStyle w:val="ListParagraph"/>
        <w:numPr>
          <w:ilvl w:val="0"/>
          <w:numId w:val="2"/>
        </w:numPr>
        <w:spacing w:after="40"/>
      </w:pPr>
      <w:r>
        <w:t xml:space="preserve">Managerial Communication explicitly references appropriate usage of AI tools — rare for Indian PG syllabi.</w:t>
      </w:r>
    </w:p>
    <w:p>
      <w:pPr>
        <w:pStyle w:val="Heading1"/>
        <w:spacing w:after="120" w:before="200"/>
      </w:pPr>
      <w:r>
        <w:rPr>
          <w:b/>
          <w:bCs/>
          <w:color w:val="1F4E79"/>
          <w:sz w:val="32"/>
          <w:szCs w:val="32"/>
        </w:rPr>
        <w:t xml:space="preserve">4. Weaknesses Identified</w:t>
      </w:r>
    </w:p>
    <w:p>
      <w:pPr>
        <w:pStyle w:val="ListParagraph"/>
        <w:numPr>
          <w:ilvl w:val="0"/>
          <w:numId w:val="2"/>
        </w:numPr>
        <w:spacing w:after="40"/>
      </w:pPr>
      <w:r>
        <w:t xml:space="preserve">No syllabus carries a CO–PO–PSO matrix or a Bloom's Taxonomy cognitive-level tag against each CO (NAAC SSR requirement).</w:t>
      </w:r>
    </w:p>
    <w:p>
      <w:pPr>
        <w:pStyle w:val="ListParagraph"/>
        <w:numPr>
          <w:ilvl w:val="0"/>
          <w:numId w:val="2"/>
        </w:numPr>
        <w:spacing w:after="40"/>
      </w:pPr>
      <w:r>
        <w:t xml:space="preserve">Geography (3 papers) and Economics are 100% theory — no practicum, no GIS/RS lab, no econometrics lab — violating NEP's stress on experiential learning.</w:t>
      </w:r>
    </w:p>
    <w:p>
      <w:pPr>
        <w:pStyle w:val="ListParagraph"/>
        <w:numPr>
          <w:ilvl w:val="0"/>
          <w:numId w:val="2"/>
        </w:numPr>
        <w:spacing w:after="40"/>
      </w:pPr>
      <w:r>
        <w:t xml:space="preserve">Two syllabi (PR in Private/Public Sector, Digital Media Marketing) are still CBCS-format with no COs declared — pre-NEP residue.</w:t>
      </w:r>
    </w:p>
    <w:p>
      <w:pPr>
        <w:pStyle w:val="ListParagraph"/>
        <w:numPr>
          <w:ilvl w:val="0"/>
          <w:numId w:val="2"/>
        </w:numPr>
        <w:spacing w:after="40"/>
      </w:pPr>
      <w:r>
        <w:t xml:space="preserve">No mention of plagiarism check (Turnitin/Urkund/Ouriginal) which is mandatory under UGC Promotion of Academic Integrity Regulations, 2018.</w:t>
      </w:r>
    </w:p>
    <w:p>
      <w:pPr>
        <w:pStyle w:val="ListParagraph"/>
        <w:numPr>
          <w:ilvl w:val="0"/>
          <w:numId w:val="2"/>
        </w:numPr>
        <w:spacing w:after="40"/>
      </w:pPr>
      <w:r>
        <w:t xml:space="preserve">No Electronic Lab Notebook (ELN), no GitHub portfolios, no Moodle/Google Classroom co-tagged assessments, no countdown-timed LMS quizzes, no digital viva specified.</w:t>
      </w:r>
    </w:p>
    <w:p>
      <w:pPr>
        <w:pStyle w:val="ListParagraph"/>
        <w:numPr>
          <w:ilvl w:val="0"/>
          <w:numId w:val="2"/>
        </w:numPr>
        <w:spacing w:after="40"/>
      </w:pPr>
      <w:r>
        <w:t xml:space="preserve">No digital tracking of Educational Outcomes — CO attainment is not operationalised; no rubric, no analytics dashboard.</w:t>
      </w:r>
    </w:p>
    <w:p>
      <w:pPr>
        <w:pStyle w:val="ListParagraph"/>
        <w:numPr>
          <w:ilvl w:val="0"/>
          <w:numId w:val="2"/>
        </w:numPr>
        <w:spacing w:after="40"/>
      </w:pPr>
      <w:r>
        <w:t xml:space="preserve">Pedagogy section, where present, is generic (lectures, role-plays); learner engagement, concentration, behavioural-response and confidence-level indicators are absent.</w:t>
      </w:r>
    </w:p>
    <w:p>
      <w:pPr>
        <w:pStyle w:val="ListParagraph"/>
        <w:numPr>
          <w:ilvl w:val="0"/>
          <w:numId w:val="2"/>
        </w:numPr>
        <w:spacing w:after="40"/>
      </w:pPr>
      <w:r>
        <w:t xml:space="preserve">Teacher-centric design dominates; very few mentoring hours, tutorial hours or self-study credit blocks are explicitly carved out.</w:t>
      </w:r>
    </w:p>
    <w:p>
      <w:pPr>
        <w:pStyle w:val="ListParagraph"/>
        <w:numPr>
          <w:ilvl w:val="0"/>
          <w:numId w:val="2"/>
        </w:numPr>
        <w:spacing w:after="40"/>
      </w:pPr>
      <w:r>
        <w:t xml:space="preserve">Internal content drift: M.A. Geography Sem IV Unit 4 is titled 'Groundwater' but lists Population, Globalization and Disaster topics — editorial lapse.</w:t>
      </w:r>
    </w:p>
    <w:p>
      <w:pPr>
        <w:pStyle w:val="ListParagraph"/>
        <w:numPr>
          <w:ilvl w:val="0"/>
          <w:numId w:val="2"/>
        </w:numPr>
        <w:spacing w:after="40"/>
      </w:pPr>
      <w:r>
        <w:t xml:space="preserve">Duplicate COs in Advanced Physical Geography III (CO1 = CO5) indicate weak outcome design.</w:t>
      </w:r>
    </w:p>
    <w:p>
      <w:pPr>
        <w:pStyle w:val="Heading1"/>
        <w:spacing w:after="120" w:before="200"/>
      </w:pPr>
      <w:r>
        <w:rPr>
          <w:b/>
          <w:bCs/>
          <w:color w:val="1F4E79"/>
          <w:sz w:val="32"/>
          <w:szCs w:val="32"/>
        </w:rPr>
        <w:t xml:space="preserve">5. Shortcomings Against UGC / NEP / NAAC Benchmarks</w:t>
      </w:r>
    </w:p>
    <w:p>
      <w:pPr>
        <w:pStyle w:val="ListParagraph"/>
        <w:numPr>
          <w:ilvl w:val="0"/>
          <w:numId w:val="2"/>
        </w:numPr>
        <w:spacing w:after="40"/>
      </w:pPr>
      <w:r>
        <w:t xml:space="preserve">No mapping to NEP 2020 four-year UG / one-year PG multiple entry-exit framework or to Academic Bank of Credits (ABC) codes.</w:t>
      </w:r>
    </w:p>
    <w:p>
      <w:pPr>
        <w:pStyle w:val="ListParagraph"/>
        <w:numPr>
          <w:ilvl w:val="0"/>
          <w:numId w:val="2"/>
        </w:numPr>
        <w:spacing w:after="40"/>
      </w:pPr>
      <w:r>
        <w:t xml:space="preserve">No Skill Enhancement Course (SEC) / Value-Added Course (VAC) / Ability Enhancement (AEC) tagging as required by UGC CCFUP-2022.</w:t>
      </w:r>
    </w:p>
    <w:p>
      <w:pPr>
        <w:pStyle w:val="ListParagraph"/>
        <w:numPr>
          <w:ilvl w:val="0"/>
          <w:numId w:val="2"/>
        </w:numPr>
        <w:spacing w:after="40"/>
      </w:pPr>
      <w:r>
        <w:t xml:space="preserve">No Open Educational Resources (SWAYAM/NPTEL) integration or MOOC credit-transfer clause.</w:t>
      </w:r>
    </w:p>
    <w:p>
      <w:pPr>
        <w:pStyle w:val="ListParagraph"/>
        <w:numPr>
          <w:ilvl w:val="0"/>
          <w:numId w:val="2"/>
        </w:numPr>
        <w:spacing w:after="40"/>
      </w:pPr>
      <w:r>
        <w:t xml:space="preserve">No inclusion of Indian Knowledge System (IKS) component — an explicit NEP / UGC requirement.</w:t>
      </w:r>
    </w:p>
    <w:p>
      <w:pPr>
        <w:pStyle w:val="ListParagraph"/>
        <w:numPr>
          <w:ilvl w:val="0"/>
          <w:numId w:val="2"/>
        </w:numPr>
        <w:spacing w:after="40"/>
      </w:pPr>
      <w:r>
        <w:t xml:space="preserve">Assessment weightage is generic 50:50 CIE:ESE; no breakup for quiz / portfolio / viva / project / peer review.</w:t>
      </w:r>
    </w:p>
    <w:p>
      <w:pPr>
        <w:pStyle w:val="ListParagraph"/>
        <w:numPr>
          <w:ilvl w:val="0"/>
          <w:numId w:val="2"/>
        </w:numPr>
        <w:spacing w:after="40"/>
      </w:pPr>
      <w:r>
        <w:t xml:space="preserve">No accessibility / Universal Design for Learning (UDL) statement for divyangjan learners.</w:t>
      </w:r>
    </w:p>
    <w:p>
      <w:pPr>
        <w:pStyle w:val="Heading1"/>
        <w:spacing w:after="120" w:before="200"/>
      </w:pPr>
      <w:r>
        <w:rPr>
          <w:b/>
          <w:bCs/>
          <w:color w:val="1F4E79"/>
          <w:sz w:val="32"/>
          <w:szCs w:val="32"/>
        </w:rPr>
        <w:t xml:space="preserve">6. Bloom's Taxonomy &amp; Digital-Tracking Gap Analysis</w:t>
      </w:r>
    </w:p>
    <w:tbl>
      <w:tblPr>
        <w:tblW w:type="dxa" w:w="14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000"/>
        <w:gridCol w:w="3000"/>
        <w:gridCol w:w="7000"/>
      </w:tblGrid>
      <w:tr>
        <w:trPr>
          <w:tblHeader/>
        </w:trPr>
        <w:tc>
          <w:tcPr>
            <w:tcW w:type="dxa" w:w="4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4E79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Dimension</w:t>
            </w:r>
          </w:p>
        </w:tc>
        <w:tc>
          <w:tcPr>
            <w:tcW w:type="dxa" w:w="3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4E79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Present in Syllabi?</w:t>
            </w:r>
          </w:p>
        </w:tc>
        <w:tc>
          <w:tcPr>
            <w:tcW w:type="dxa" w:w="7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4E79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Gap</w:t>
            </w:r>
          </w:p>
        </w:tc>
      </w:tr>
      <w:tr>
        <w:tc>
          <w:tcPr>
            <w:tcW w:type="dxa" w:w="4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Bloom L1-L2 (Remember/Understand)</w:t>
            </w:r>
          </w:p>
        </w:tc>
        <w:tc>
          <w:tcPr>
            <w:tcW w:type="dxa" w:w="3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Yes — dominant</w:t>
            </w:r>
          </w:p>
        </w:tc>
        <w:tc>
          <w:tcPr>
            <w:tcW w:type="dxa" w:w="7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Over-represented; lower-order verbs in most COs</w:t>
            </w:r>
          </w:p>
        </w:tc>
      </w:tr>
      <w:tr>
        <w:tc>
          <w:tcPr>
            <w:tcW w:type="dxa" w:w="4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Bloom L3 (Apply)</w:t>
            </w:r>
          </w:p>
        </w:tc>
        <w:tc>
          <w:tcPr>
            <w:tcW w:type="dxa" w:w="3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Partial (MMS, PR Campaign)</w:t>
            </w:r>
          </w:p>
        </w:tc>
        <w:tc>
          <w:tcPr>
            <w:tcW w:type="dxa" w:w="7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Missing in Geography &amp; Economics papers</w:t>
            </w:r>
          </w:p>
        </w:tc>
      </w:tr>
      <w:tr>
        <w:tc>
          <w:tcPr>
            <w:tcW w:type="dxa" w:w="4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Bloom L4-L5 (Analyse/Evaluate)</w:t>
            </w:r>
          </w:p>
        </w:tc>
        <w:tc>
          <w:tcPr>
            <w:tcW w:type="dxa" w:w="3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Sparse</w:t>
            </w:r>
          </w:p>
        </w:tc>
        <w:tc>
          <w:tcPr>
            <w:tcW w:type="dxa" w:w="7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Only Business Statistics CO4-CO5 uses these verbs</w:t>
            </w:r>
          </w:p>
        </w:tc>
      </w:tr>
      <w:tr>
        <w:tc>
          <w:tcPr>
            <w:tcW w:type="dxa" w:w="4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Bloom L6 (Create)</w:t>
            </w:r>
          </w:p>
        </w:tc>
        <w:tc>
          <w:tcPr>
            <w:tcW w:type="dxa" w:w="3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Rare</w:t>
            </w:r>
          </w:p>
        </w:tc>
        <w:tc>
          <w:tcPr>
            <w:tcW w:type="dxa" w:w="7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Only PR Campaign and Business Statistics CO6 (Develop)</w:t>
            </w:r>
          </w:p>
        </w:tc>
      </w:tr>
      <w:tr>
        <w:tc>
          <w:tcPr>
            <w:tcW w:type="dxa" w:w="4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LMS countdown quizzes</w:t>
            </w:r>
          </w:p>
        </w:tc>
        <w:tc>
          <w:tcPr>
            <w:tcW w:type="dxa" w:w="3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No</w:t>
            </w:r>
          </w:p>
        </w:tc>
        <w:tc>
          <w:tcPr>
            <w:tcW w:type="dxa" w:w="7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Not specified in any syllabus</w:t>
            </w:r>
          </w:p>
        </w:tc>
      </w:tr>
      <w:tr>
        <w:tc>
          <w:tcPr>
            <w:tcW w:type="dxa" w:w="4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Plagiarism check (Turnitin/Ouriginal)</w:t>
            </w:r>
          </w:p>
        </w:tc>
        <w:tc>
          <w:tcPr>
            <w:tcW w:type="dxa" w:w="3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No</w:t>
            </w:r>
          </w:p>
        </w:tc>
        <w:tc>
          <w:tcPr>
            <w:tcW w:type="dxa" w:w="7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Not specified — UGC 2018 mandate violated</w:t>
            </w:r>
          </w:p>
        </w:tc>
      </w:tr>
      <w:tr>
        <w:tc>
          <w:tcPr>
            <w:tcW w:type="dxa" w:w="4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Electronic Lab Notebook (ELN)</w:t>
            </w:r>
          </w:p>
        </w:tc>
        <w:tc>
          <w:tcPr>
            <w:tcW w:type="dxa" w:w="3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No</w:t>
            </w:r>
          </w:p>
        </w:tc>
        <w:tc>
          <w:tcPr>
            <w:tcW w:type="dxa" w:w="7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Absent across all 10</w:t>
            </w:r>
          </w:p>
        </w:tc>
      </w:tr>
      <w:tr>
        <w:tc>
          <w:tcPr>
            <w:tcW w:type="dxa" w:w="4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GitHub / digital portfolios</w:t>
            </w:r>
          </w:p>
        </w:tc>
        <w:tc>
          <w:tcPr>
            <w:tcW w:type="dxa" w:w="3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No</w:t>
            </w:r>
          </w:p>
        </w:tc>
        <w:tc>
          <w:tcPr>
            <w:tcW w:type="dxa" w:w="7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Absent — no public artefact evidence</w:t>
            </w:r>
          </w:p>
        </w:tc>
      </w:tr>
      <w:tr>
        <w:tc>
          <w:tcPr>
            <w:tcW w:type="dxa" w:w="4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Digital Viva / Practicum</w:t>
            </w:r>
          </w:p>
        </w:tc>
        <w:tc>
          <w:tcPr>
            <w:tcW w:type="dxa" w:w="3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No</w:t>
            </w:r>
          </w:p>
        </w:tc>
        <w:tc>
          <w:tcPr>
            <w:tcW w:type="dxa" w:w="7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Not formalised in any syllabus</w:t>
            </w:r>
          </w:p>
        </w:tc>
      </w:tr>
      <w:tr>
        <w:tc>
          <w:tcPr>
            <w:tcW w:type="dxa" w:w="4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Moodle / Google Classroom co-tagged assessment</w:t>
            </w:r>
          </w:p>
        </w:tc>
        <w:tc>
          <w:tcPr>
            <w:tcW w:type="dxa" w:w="3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No</w:t>
            </w:r>
          </w:p>
        </w:tc>
        <w:tc>
          <w:tcPr>
            <w:tcW w:type="dxa" w:w="7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Not declared</w:t>
            </w:r>
          </w:p>
        </w:tc>
      </w:tr>
      <w:tr>
        <w:tc>
          <w:tcPr>
            <w:tcW w:type="dxa" w:w="4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CO-attainment dashboard</w:t>
            </w:r>
          </w:p>
        </w:tc>
        <w:tc>
          <w:tcPr>
            <w:tcW w:type="dxa" w:w="3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No</w:t>
            </w:r>
          </w:p>
        </w:tc>
        <w:tc>
          <w:tcPr>
            <w:tcW w:type="dxa" w:w="7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No analytics or tracking mechanism</w:t>
            </w:r>
          </w:p>
        </w:tc>
      </w:tr>
    </w:tbl>
    <w:p>
      <w:pPr>
        <w:pStyle w:val="Heading1"/>
        <w:spacing w:after="120" w:before="200"/>
      </w:pPr>
      <w:r>
        <w:rPr>
          <w:b/>
          <w:bCs/>
          <w:color w:val="1F4E79"/>
          <w:sz w:val="32"/>
          <w:szCs w:val="32"/>
        </w:rPr>
        <w:t xml:space="preserve">7. Teacher-Centric → Student-Centric Transition: Missing Levers</w:t>
      </w:r>
    </w:p>
    <w:p>
      <w:pPr>
        <w:pStyle w:val="ListParagraph"/>
        <w:numPr>
          <w:ilvl w:val="0"/>
          <w:numId w:val="2"/>
        </w:numPr>
        <w:spacing w:after="40"/>
      </w:pPr>
      <w:r>
        <w:t xml:space="preserve">Learner engagement metrics (attendance analytics, click-stream on LMS, time-on-task).</w:t>
      </w:r>
    </w:p>
    <w:p>
      <w:pPr>
        <w:pStyle w:val="ListParagraph"/>
        <w:numPr>
          <w:ilvl w:val="0"/>
          <w:numId w:val="2"/>
        </w:numPr>
        <w:spacing w:after="40"/>
      </w:pPr>
      <w:r>
        <w:t xml:space="preserve">Concentration &amp; behavioural-response capture (live polls, sentiment quizzes, webcam-based engagement only with explicit consent).</w:t>
      </w:r>
    </w:p>
    <w:p>
      <w:pPr>
        <w:pStyle w:val="ListParagraph"/>
        <w:numPr>
          <w:ilvl w:val="0"/>
          <w:numId w:val="2"/>
        </w:numPr>
        <w:spacing w:after="40"/>
      </w:pPr>
      <w:r>
        <w:t xml:space="preserve">Confidence-level self-reporting (pre/post-class Likert scales fed into the LMS).</w:t>
      </w:r>
    </w:p>
    <w:p>
      <w:pPr>
        <w:pStyle w:val="ListParagraph"/>
        <w:numPr>
          <w:ilvl w:val="0"/>
          <w:numId w:val="2"/>
        </w:numPr>
        <w:spacing w:after="40"/>
      </w:pPr>
      <w:r>
        <w:t xml:space="preserve">Structured mentoring hours with logged minutes per student per semester.</w:t>
      </w:r>
    </w:p>
    <w:p>
      <w:pPr>
        <w:pStyle w:val="ListParagraph"/>
        <w:numPr>
          <w:ilvl w:val="0"/>
          <w:numId w:val="2"/>
        </w:numPr>
        <w:spacing w:after="40"/>
      </w:pPr>
      <w:r>
        <w:t xml:space="preserve">Self-study credit block with deliverable evidence (ELN entries, GitHub commits).</w:t>
      </w:r>
    </w:p>
    <w:p>
      <w:pPr>
        <w:pStyle w:val="Heading1"/>
        <w:spacing w:after="120" w:before="200"/>
      </w:pPr>
      <w:r>
        <w:rPr>
          <w:b/>
          <w:bCs/>
          <w:color w:val="1F4E79"/>
          <w:sz w:val="32"/>
          <w:szCs w:val="32"/>
        </w:rPr>
        <w:t xml:space="preserve">8. Recommendations to Make the System Applied &amp; Socially Relevant</w:t>
      </w:r>
    </w:p>
    <w:p>
      <w:pPr>
        <w:pStyle w:val="ListParagraph"/>
        <w:numPr>
          <w:ilvl w:val="0"/>
          <w:numId w:val="2"/>
        </w:numPr>
        <w:spacing w:after="40"/>
      </w:pPr>
      <w:r>
        <w:t xml:space="preserve">Re-cast every CO with Bloom verbs at L1-L6 and publish a CO-PO matrix in the syllabus front-matter.</w:t>
      </w:r>
    </w:p>
    <w:p>
      <w:pPr>
        <w:pStyle w:val="ListParagraph"/>
        <w:numPr>
          <w:ilvl w:val="0"/>
          <w:numId w:val="2"/>
        </w:numPr>
        <w:spacing w:after="40"/>
      </w:pPr>
      <w:r>
        <w:t xml:space="preserve">Mandate 30% practicum credit floor for every PG paper; for Geography/Economics introduce GIS, QGIS, Python, R, Stata, SPSS labs.</w:t>
      </w:r>
    </w:p>
    <w:p>
      <w:pPr>
        <w:pStyle w:val="ListParagraph"/>
        <w:numPr>
          <w:ilvl w:val="0"/>
          <w:numId w:val="2"/>
        </w:numPr>
        <w:spacing w:after="40"/>
      </w:pPr>
      <w:r>
        <w:t xml:space="preserve">Deploy Moodle or Google Classroom institution-wide; configure co-tagged assessments, countdown-timed quizzes, digital viva rooms.</w:t>
      </w:r>
    </w:p>
    <w:p>
      <w:pPr>
        <w:pStyle w:val="ListParagraph"/>
        <w:numPr>
          <w:ilvl w:val="0"/>
          <w:numId w:val="2"/>
        </w:numPr>
        <w:spacing w:after="40"/>
      </w:pPr>
      <w:r>
        <w:t xml:space="preserve">Require GitHub / Behance / OSF portfolios for every student; ELN for lab/field work; Turnitin scan before final submission.</w:t>
      </w:r>
    </w:p>
    <w:p>
      <w:pPr>
        <w:pStyle w:val="ListParagraph"/>
        <w:numPr>
          <w:ilvl w:val="0"/>
          <w:numId w:val="2"/>
        </w:numPr>
        <w:spacing w:after="40"/>
      </w:pPr>
      <w:r>
        <w:t xml:space="preserve">Build a CO-attainment analytics dashboard (Power BI / Metabase) fed from LMS, for real-time NAAC AQAR reporting.</w:t>
      </w:r>
    </w:p>
    <w:p>
      <w:pPr>
        <w:pStyle w:val="ListParagraph"/>
        <w:numPr>
          <w:ilvl w:val="0"/>
          <w:numId w:val="2"/>
        </w:numPr>
        <w:spacing w:after="40"/>
      </w:pPr>
      <w:r>
        <w:t xml:space="preserve">Allocate explicit hours: 60% class teaching, 15% tutorial, 15% self-study, 10% mentoring — printed in each syllabus.</w:t>
      </w:r>
    </w:p>
    <w:p>
      <w:pPr>
        <w:pStyle w:val="ListParagraph"/>
        <w:numPr>
          <w:ilvl w:val="0"/>
          <w:numId w:val="2"/>
        </w:numPr>
        <w:spacing w:after="40"/>
      </w:pPr>
      <w:r>
        <w:t xml:space="preserve">Adopt UGC's Plagiarism Regulation 2018 thresholds (≤10% similarity for PG dissertations) as a printed clause.</w:t>
      </w:r>
    </w:p>
    <w:p>
      <w:pPr>
        <w:pStyle w:val="ListParagraph"/>
        <w:numPr>
          <w:ilvl w:val="0"/>
          <w:numId w:val="2"/>
        </w:numPr>
        <w:spacing w:after="40"/>
      </w:pPr>
      <w:r>
        <w:t xml:space="preserve">Integrate SWAYAM/NPTEL MOOCs for credit transfer via ABC; add IKS and VAC components.</w:t>
      </w:r>
    </w:p>
    <w:p>
      <w:pPr>
        <w:pStyle w:val="Heading1"/>
        <w:spacing w:after="120" w:before="200"/>
      </w:pPr>
      <w:r>
        <w:rPr>
          <w:b/>
          <w:bCs/>
          <w:color w:val="1F4E79"/>
          <w:sz w:val="32"/>
          <w:szCs w:val="32"/>
        </w:rPr>
        <w:t xml:space="preserve">9. Concluding Note</w:t>
      </w:r>
    </w:p>
    <w:p>
      <w:pPr>
        <w:spacing w:after="80"/>
      </w:pPr>
      <w:r>
        <w:t xml:space="preserve">The University of Mumbai is a NAAC A++ accredited Section 2(f) &amp; 12(B) institution; the regulatory umbrella is therefore strong. However, the ten syllabi reviewed reveal an uneven NEP-2020 transition: newer MMS and MACJ-NEP papers show genuine outcome-based design, while Geography, Economics and the older CBCS papers remain theory-heavy and pedagogically conservative. Closing the digital-pedagogy gap — plagiarism check, ELN, GitHub portfolios, LMS quizzes with countdown timers, digital viva, Moodle/Google Classroom co-tagged assessment and a CO-attainment analytics dashboard — is the single highest-leverage intervention to move from a teacher-centred to a learner-centred, socially relevant, and digitally trackable educational system.</w:t>
      </w:r>
    </w:p>
    <w:sectPr>
      <w:pgSz w:w="15840" w:h="12240" w:orient="landscape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40" w:hanging="2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2026-06-10T10:54:14.624Z</dcterms:created>
  <dcterms:modified xsi:type="dcterms:W3CDTF">2026-06-10T10:54:14.624Z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