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000000"/>
          <w:sz w:val="28"/>
          <w:szCs w:val="28"/>
        </w:rPr>
        <w:t xml:space="preserve">Syllabus Analysis – JNU MBA</w:t>
      </w:r>
    </w:p>
    <w:p>
      <w:pPr>
        <w:spacing w:after="160"/>
        <w:jc w:val="center"/>
      </w:pPr>
      <w:r>
        <w:rPr>
          <w:b w:val="false"/>
          <w:bCs w:val="false"/>
          <w:color w:val="000000"/>
          <w:sz w:val="16"/>
          <w:szCs w:val="16"/>
        </w:rPr>
        <w:t xml:space="preserve">One-page evaluation. Red = Shortcoming, Green = Strength.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200"/>
        <w:gridCol w:w="4460"/>
      </w:tblGrid>
      <w:tr>
        <w:trPr>
          <w:tblHeader/>
        </w:trP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Parameter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Verdict / %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Remarks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a. Theory vs Practical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Theory ~ Ninety-Five percent | Practical ~ Five percent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Almost entirely lecture/content driven; no labs, internships, live projects, simulations or capstone explicitly mapped in the course descriptions.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b. Teacher vs Student Centric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Teacher-Centric ~ Ninety percent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Topic lists read as instructor delivery agenda; no flipped class, peer learning, self-study credits or student-led components mentioned.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c. Pedagogy Mix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Single (Lecture only)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No declared mix of case study, role play, simulation, MOOC, project, seminar or experiential learning. A modern MBA expects at least four to five pedagogies per course.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d. Digital Tracking of OBE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Not Possible (Zero percent)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Course Outcomes, CO-PO matrix, attainment rubrics and LMS / analytics hooks are absent, so Outcome Based Education cannot be digitally measured.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e. UGC &amp; NAAC Terms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Largely Missing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Only 'Credits' and 'Objective' appear. Missing: Program Outcomes, Program Specific Outcomes, Course Outcomes, CBCS, NEP 2020, Skill / Ability Enhancement, Internship credits, Blended mode.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f. Bloom's Taxonomy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Level One to Two only (~ Twenty percent coverage)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Verbs used are 'understand', 'familiarize', 'develop an understanding' — limited to Remember / Understand. No Apply, Analyse, Evaluate or Create level verbs or assessments.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g. Bibliography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7A1F"/>
                <w:sz w:val="18"/>
                <w:szCs w:val="18"/>
              </w:rPr>
              <w:t xml:space="preserve">Adequate (~ Seventy percent quality)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Five to six readings per course, standard Indian and international authors (Robbins, Kotler, Hull, Pareek). Positive. Shortcoming: several titles are pre-2015; no journals, HBR cases, datasets or web/OER resources.</w:t>
            </w:r>
          </w:p>
        </w:tc>
      </w:tr>
      <w:tr>
        <w:tc>
          <w:tcPr>
            <w:tcW w:type="dxa" w:w="17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18"/>
                <w:szCs w:val="18"/>
              </w:rPr>
              <w:t xml:space="preserve">h. Overall Standard</w:t>
            </w:r>
          </w:p>
        </w:tc>
        <w:tc>
          <w:tcPr>
            <w:tcW w:type="dxa" w:w="320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C00000"/>
                <w:sz w:val="18"/>
                <w:szCs w:val="18"/>
              </w:rPr>
              <w:t xml:space="preserve">Traditional / Below Current Benchmark (~ Forty percent of a NEP-aligned MBA)</w:t>
            </w:r>
          </w:p>
        </w:tc>
        <w:tc>
          <w:tcPr>
            <w:tcW w:type="dxa" w:w="4460"/>
            <w:tcBorders>
              <w:top w:val="single" w:color="888888" w:sz="6"/>
              <w:left w:val="single" w:color="888888" w:sz="6"/>
              <w:bottom w:val="single" w:color="888888" w:sz="6"/>
              <w:right w:val="single" w:color="888888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C00000"/>
                <w:sz w:val="18"/>
                <w:szCs w:val="18"/>
              </w:rPr>
              <w:t xml:space="preserve">Content coverage of core MBA topics is reasonable, but the document is a topic-list syllabus, not an Outcome Based, NAAC-ready, NEP 2020 compliant curriculum. Needs CO-PO mapping, pedagogy mix, assessment rubrics, practical / industry credits, and Bloom-aligned outcomes before it can be considered a modern MBA syllabus.</w:t>
            </w:r>
          </w:p>
        </w:tc>
      </w:tr>
    </w:tbl>
    <w:p>
      <w:pPr>
        <w:spacing w:before="200"/>
      </w:pPr>
      <w:r>
        <w:rPr>
          <w:b w:val="false"/>
          <w:bCs w:val="false"/>
          <w:color w:val="000000"/>
          <w:sz w:val="16"/>
          <w:szCs w:val="16"/>
        </w:rPr>
        <w:t xml:space="preserve">Summary: The syllabus is content-rich but pedagogically and structurally dated. To meet UGC / NAAC / NEP 2020 expectations it must add Course Outcomes, CO-PO mapping, a multi-pedagogy plan, practical credits, Bloom higher-order assessments, and a digital OBE tracking mechanism.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2026-06-20T12:20:42.482Z</dcterms:created>
  <dcterms:modified xsi:type="dcterms:W3CDTF">2026-06-20T12:20:42.482Z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