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Planning Internship, Field Visit and Industrial Visit for M.A. Economics Syllabus (Madurai Kamaraj University)</w:t>
      </w:r>
    </w:p>
    <w:p>
      <w:pPr>
        <w:pStyle w:val="Heading2"/>
      </w:pPr>
      <w:r>
        <w:t>Introduction</w:t>
      </w:r>
    </w:p>
    <w:p>
      <w:r>
        <w:t>The M.A. Economics curriculum emphasizes application of economic theories, research, quantitative analysis, policy studies and computer applications. Internship, field visits and industrial visits can bridge classroom learning with real-world economic practices and enhance employability skills.</w:t>
      </w:r>
    </w:p>
    <w:p>
      <w:pPr>
        <w:pStyle w:val="Heading2"/>
      </w:pPr>
      <w:r>
        <w:t>Internship Plan</w:t>
      </w:r>
    </w:p>
    <w:p>
      <w:r>
        <w:t>Suggested organizations:</w:t>
        <w:br/>
        <w:t>• RBI, NABARD, SIDBI and Commercial Banks</w:t>
        <w:br/>
        <w:t>• District Planning Office and Collectorate</w:t>
        <w:br/>
        <w:t>• MSMEs and Industrial Estates</w:t>
        <w:br/>
        <w:t>• NGOs and Research Institutes</w:t>
        <w:br/>
        <w:t>• Export Promotion Councils and Chambers of Commerce</w:t>
        <w:br/>
        <w:t>• Agricultural Marketing Boards and Cooperatives</w:t>
        <w:br/>
        <w:br/>
        <w:t>Duration: 2–4 weeks during Semester III/IV.</w:t>
        <w:br/>
        <w:t>Outputs: Daily diary, project report, presentation and viva.</w:t>
      </w:r>
    </w:p>
    <w:p>
      <w:pPr>
        <w:pStyle w:val="Heading2"/>
      </w:pPr>
      <w:r>
        <w:t>Field Visit Plan</w:t>
      </w:r>
    </w:p>
    <w:p>
      <w:r>
        <w:t>Visits may include:</w:t>
        <w:br/>
        <w:t>• Rural villages for socio-economic surveys</w:t>
        <w:br/>
        <w:t>• Agricultural markets and APMC yards</w:t>
        <w:br/>
        <w:t>• Self Help Groups and microfinance institutions</w:t>
        <w:br/>
        <w:t>• Public distribution system outlets</w:t>
        <w:br/>
        <w:t>• Tourism centres and eco-development projects</w:t>
        <w:br/>
        <w:t>• Local bodies and municipal finance offices</w:t>
        <w:br/>
        <w:br/>
        <w:t>Students collect primary data, conduct interviews and prepare analytical reports.</w:t>
      </w:r>
    </w:p>
    <w:p>
      <w:pPr>
        <w:pStyle w:val="Heading2"/>
      </w:pPr>
      <w:r>
        <w:t>Industrial Visit Plan</w:t>
      </w:r>
    </w:p>
    <w:p>
      <w:r>
        <w:t>Suggested industries:</w:t>
        <w:br/>
        <w:t>• Manufacturing industries</w:t>
        <w:br/>
        <w:t>• Textile industries</w:t>
        <w:br/>
        <w:t>• Automobile industries</w:t>
        <w:br/>
        <w:t>• IT and FinTech companies</w:t>
        <w:br/>
        <w:t>• Food processing units</w:t>
        <w:br/>
        <w:t>• SEZs and Export industries</w:t>
        <w:br/>
        <w:br/>
        <w:t>Students observe production systems, labour management, cost structures, pricing and supply chains.</w:t>
      </w:r>
    </w:p>
    <w:p>
      <w:pPr>
        <w:pStyle w:val="Heading2"/>
      </w:pPr>
      <w:r>
        <w:t>Course-wise Mapping</w:t>
      </w:r>
    </w:p>
    <w:p>
      <w:r>
        <w:t>Micro Economics – Market behaviour and pricing.</w:t>
        <w:br/>
        <w:t>Macro Economics – Industrial output and employment.</w:t>
        <w:br/>
        <w:t>Econometrics – Data collection and analysis.</w:t>
        <w:br/>
        <w:t>Growth &amp; Development – Regional development studies.</w:t>
        <w:br/>
        <w:t>Public Economics – Government institutions and budgeting.</w:t>
        <w:br/>
        <w:t>Research Methodology – Survey techniques.</w:t>
        <w:br/>
        <w:t>International Economics – Export units and ports.</w:t>
        <w:br/>
        <w:t>Monetary Economics – Banking sector visits.</w:t>
        <w:br/>
        <w:t>Computer Applications – Data analytics and MIS systems.</w:t>
      </w:r>
    </w:p>
    <w:p>
      <w:pPr>
        <w:pStyle w:val="Heading2"/>
      </w:pPr>
      <w:r>
        <w:t>Assessment</w:t>
      </w:r>
    </w:p>
    <w:p>
      <w:r>
        <w:t>Attendance (10%), Field Diary (20%), Data Analysis (30%), Presentation (20%), Viva and Report (20%).</w:t>
      </w:r>
    </w:p>
    <w:p>
      <w:pPr>
        <w:pStyle w:val="Heading2"/>
      </w:pPr>
      <w:r>
        <w:t>Learning Outcomes</w:t>
      </w:r>
    </w:p>
    <w:p>
      <w:r>
        <w:t>Develops employability, communication, teamwork, research competency, data analysis, policy evaluation, entrepreneurship and industry readiness aligned with OBE and NEP 2020.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