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Analytical Review of Davangere University PG Syllabi (2024–25)</w:t>
      </w:r>
    </w:p>
    <w:p>
      <w:r>
        <w:rPr>
          <w:i/>
          <w:sz w:val="22"/>
        </w:rPr>
        <w:t>Framework: UGC Regulations • NEP 2020 • NAAC Criteria • Bloom's Taxonomy • OBE (Outcome-Based Education) • Pedagogy Mix (Class teaching, Tutorials, Mentoring, Self-study, Viva, Project)</w:t>
      </w:r>
    </w:p>
    <w:p>
      <w:r>
        <w:rPr>
          <w:b/>
          <w:color w:val="008000"/>
          <w:sz w:val="24"/>
        </w:rPr>
        <w:t>STRENGTHS (Green)</w:t>
      </w:r>
      <w:r>
        <w:rPr>
          <w:b/>
          <w:color w:val="C00000"/>
          <w:sz w:val="24"/>
        </w:rPr>
        <w:t xml:space="preserve">  |  WEAKNESSES (Red)</w:t>
      </w:r>
      <w:r>
        <w:rPr>
          <w:b/>
          <w:color w:val="0020A0"/>
          <w:sz w:val="24"/>
        </w:rPr>
        <w:t xml:space="preserve">  |  SHORTCOMINGS (Blue)</w:t>
      </w:r>
    </w:p>
    <w:tbl>
      <w:tblPr>
        <w:tblStyle w:val="LightGrid-Accent1"/>
        <w:tblW w:type="auto" w:w="0"/>
        <w:tblLayout w:type="fixed"/>
        <w:tblLook w:firstColumn="1" w:firstRow="1" w:lastColumn="0" w:lastRow="0" w:noHBand="0" w:noVBand="1" w:val="04A0"/>
      </w:tblPr>
      <w:tblGrid>
        <w:gridCol w:w="1448"/>
        <w:gridCol w:w="1448"/>
        <w:gridCol w:w="1448"/>
        <w:gridCol w:w="1448"/>
        <w:gridCol w:w="1448"/>
        <w:gridCol w:w="1448"/>
        <w:gridCol w:w="1448"/>
        <w:gridCol w:w="1448"/>
        <w:gridCol w:w="1448"/>
        <w:gridCol w:w="1448"/>
      </w:tblGrid>
      <w:tr>
        <w:tc>
          <w:tcPr>
            <w:tcW w:type="dxa" w:w="1814"/>
            <w:shd w:fill="D9E1F2"/>
          </w:tcPr>
          <w:p>
            <w:r/>
            <w:r>
              <w:rPr>
                <w:b/>
                <w:sz w:val="24"/>
              </w:rPr>
              <w:t>Programme</w:t>
            </w:r>
          </w:p>
        </w:tc>
        <w:tc>
          <w:tcPr>
            <w:tcW w:type="dxa" w:w="1928"/>
            <w:shd w:fill="D9E1F2"/>
          </w:tcPr>
          <w:p>
            <w:r/>
            <w:r>
              <w:rPr>
                <w:b/>
                <w:sz w:val="24"/>
              </w:rPr>
              <w:t>UGC / NEP 2020 / NAAC Alignment</w:t>
            </w:r>
          </w:p>
        </w:tc>
        <w:tc>
          <w:tcPr>
            <w:tcW w:type="dxa" w:w="1701"/>
            <w:shd w:fill="D9E1F2"/>
          </w:tcPr>
          <w:p>
            <w:r/>
            <w:r>
              <w:rPr>
                <w:b/>
                <w:sz w:val="24"/>
              </w:rPr>
              <w:t>Bloom's Taxonomy Coverage</w:t>
            </w:r>
          </w:p>
        </w:tc>
        <w:tc>
          <w:tcPr>
            <w:tcW w:type="dxa" w:w="1701"/>
            <w:shd w:fill="D9E1F2"/>
          </w:tcPr>
          <w:p>
            <w:r/>
            <w:r>
              <w:rPr>
                <w:b/>
                <w:sz w:val="24"/>
              </w:rPr>
              <w:t>Digital OBE Tracking Feasibility</w:t>
            </w:r>
          </w:p>
        </w:tc>
        <w:tc>
          <w:tcPr>
            <w:tcW w:type="dxa" w:w="2041"/>
            <w:shd w:fill="D9E1F2"/>
          </w:tcPr>
          <w:p>
            <w:r/>
            <w:r>
              <w:rPr>
                <w:b/>
                <w:sz w:val="24"/>
              </w:rPr>
              <w:t>Pedagogy Mix (Class, Tutorial, Mentor, Self-study, Viva, Project)</w:t>
            </w:r>
          </w:p>
        </w:tc>
        <w:tc>
          <w:tcPr>
            <w:tcW w:type="dxa" w:w="1361"/>
            <w:shd w:fill="D9E1F2"/>
          </w:tcPr>
          <w:p>
            <w:r/>
            <w:r>
              <w:rPr>
                <w:b/>
                <w:sz w:val="24"/>
              </w:rPr>
              <w:t>Theory vs Application (%)</w:t>
            </w:r>
          </w:p>
        </w:tc>
        <w:tc>
          <w:tcPr>
            <w:tcW w:type="dxa" w:w="1474"/>
            <w:shd w:fill="D9E1F2"/>
          </w:tcPr>
          <w:p>
            <w:r/>
            <w:r>
              <w:rPr>
                <w:b/>
                <w:sz w:val="24"/>
              </w:rPr>
              <w:t>Teacher- vs Student-Centric (%)</w:t>
            </w:r>
          </w:p>
        </w:tc>
        <w:tc>
          <w:tcPr>
            <w:tcW w:type="dxa" w:w="2041"/>
            <w:shd w:fill="D9E1F2"/>
          </w:tcPr>
          <w:p>
            <w:r/>
            <w:r>
              <w:rPr>
                <w:b/>
                <w:sz w:val="24"/>
              </w:rPr>
              <w:t>Strengths</w:t>
            </w:r>
          </w:p>
        </w:tc>
        <w:tc>
          <w:tcPr>
            <w:tcW w:type="dxa" w:w="1928"/>
            <w:shd w:fill="D9E1F2"/>
          </w:tcPr>
          <w:p>
            <w:r/>
            <w:r>
              <w:rPr>
                <w:b/>
                <w:sz w:val="24"/>
              </w:rPr>
              <w:t>Weaknesses</w:t>
            </w:r>
          </w:p>
        </w:tc>
        <w:tc>
          <w:tcPr>
            <w:tcW w:type="dxa" w:w="1928"/>
            <w:shd w:fill="D9E1F2"/>
          </w:tcPr>
          <w:p>
            <w:r/>
            <w:r>
              <w:rPr>
                <w:b/>
                <w:sz w:val="24"/>
              </w:rPr>
              <w:t>Shortcomings</w:t>
            </w:r>
          </w:p>
        </w:tc>
      </w:tr>
      <w:tr>
        <w:tc>
          <w:tcPr>
            <w:tcW w:type="dxa" w:w="1814"/>
          </w:tcPr>
          <w:p>
            <w:r/>
            <w:r>
              <w:rPr>
                <w:b/>
                <w:sz w:val="24"/>
              </w:rPr>
              <w:t>M.A. Criminology (PG)</w:t>
            </w:r>
          </w:p>
        </w:tc>
        <w:tc>
          <w:tcPr>
            <w:tcW w:type="dxa" w:w="1928"/>
          </w:tcPr>
          <w:p>
            <w:r/>
            <w:r>
              <w:rPr>
                <w:sz w:val="24"/>
              </w:rPr>
              <w:t>Aligned to NEP 2020 PG framework with multidisciplinary electives; CBCS credit pattern; OBE template (COs/POs) referenced.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Predominantly L1–L3 (Remember–Apply); L4–L6 (Analyse, Evaluate, Create) limited to dissertation/internship.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Digital OBE tracking feasible via CO-PO matrix; LMS attainment dashboards possible if university adopts ERP.</w:t>
            </w:r>
          </w:p>
        </w:tc>
        <w:tc>
          <w:tcPr>
            <w:tcW w:type="dxa" w:w="2041"/>
          </w:tcPr>
          <w:p>
            <w:r/>
            <w:r>
              <w:rPr>
                <w:sz w:val="24"/>
              </w:rPr>
              <w:t>Classroom lectures, tutorials, field visits to police/prison/forensic units, internship, dissertation viva.</w:t>
            </w:r>
          </w:p>
        </w:tc>
        <w:tc>
          <w:tcPr>
            <w:tcW w:type="dxa" w:w="1361"/>
          </w:tcPr>
          <w:p>
            <w:r/>
            <w:r>
              <w:rPr>
                <w:b/>
                <w:sz w:val="24"/>
              </w:rPr>
              <w:t>Theory 70% / Application 30%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4"/>
              </w:rPr>
              <w:t>Teacher-centric 65% / Student-centric 35%</w:t>
            </w:r>
          </w:p>
        </w:tc>
        <w:tc>
          <w:tcPr>
            <w:tcW w:type="dxa" w:w="2041"/>
          </w:tcPr>
          <w:p>
            <w:r/>
            <w:r>
              <w:rPr>
                <w:color w:val="008000"/>
                <w:sz w:val="24"/>
              </w:rPr>
              <w:t>Strong socio-legal relevance; field internships with criminal-justice agencies; dissertation + viva; inclusion of cyber-crime &amp; victimology aligns with national priorities.</w:t>
            </w:r>
          </w:p>
        </w:tc>
        <w:tc>
          <w:tcPr>
            <w:tcW w:type="dxa" w:w="1928"/>
          </w:tcPr>
          <w:p>
            <w:r/>
            <w:r>
              <w:rPr>
                <w:color w:val="C00000"/>
                <w:sz w:val="24"/>
              </w:rPr>
              <w:t>Heavy descriptive theory load; limited quantitative/forensic-lab exposure; few case-based or simulation modules; assessment dominated by end-semester written exam.</w:t>
            </w:r>
          </w:p>
        </w:tc>
        <w:tc>
          <w:tcPr>
            <w:tcW w:type="dxa" w:w="1928"/>
          </w:tcPr>
          <w:p>
            <w:r/>
            <w:r>
              <w:rPr>
                <w:color w:val="0020A0"/>
                <w:sz w:val="24"/>
              </w:rPr>
              <w:t>No formal MOOC/SWAYAM credit transfer; absent industry/agency MoUs in syllabus text; weak digital OBE attainment mechanism; no structured mentoring log.</w:t>
            </w:r>
          </w:p>
        </w:tc>
      </w:tr>
      <w:tr>
        <w:tc>
          <w:tcPr>
            <w:tcW w:type="dxa" w:w="1814"/>
          </w:tcPr>
          <w:p>
            <w:r/>
            <w:r>
              <w:rPr>
                <w:b/>
                <w:sz w:val="24"/>
              </w:rPr>
              <w:t>M.Sc. Biotechnology (PG)</w:t>
            </w:r>
          </w:p>
        </w:tc>
        <w:tc>
          <w:tcPr>
            <w:tcW w:type="dxa" w:w="1928"/>
          </w:tcPr>
          <w:p>
            <w:r/>
            <w:r>
              <w:rPr>
                <w:sz w:val="24"/>
              </w:rPr>
              <w:t>Follows NEP credit structure; research project &amp; OJT (On-Job Training) embedded — meets NEP experiential learning clause.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Balanced L1–L4; L5–L6 emerge in project &amp; seminar; lab courses cover Apply/Analyse well.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Lab record + CO attainment can be tracked via LMS; NAAC SSR-ready if practical rubrics digitised.</w:t>
            </w:r>
          </w:p>
        </w:tc>
        <w:tc>
          <w:tcPr>
            <w:tcW w:type="dxa" w:w="2041"/>
          </w:tcPr>
          <w:p>
            <w:r/>
            <w:r>
              <w:rPr>
                <w:sz w:val="24"/>
              </w:rPr>
              <w:t>Lectures, practicals, journal club, seminar, mini-project, dissertation viva, industrial visit.</w:t>
            </w:r>
          </w:p>
        </w:tc>
        <w:tc>
          <w:tcPr>
            <w:tcW w:type="dxa" w:w="1361"/>
          </w:tcPr>
          <w:p>
            <w:r/>
            <w:r>
              <w:rPr>
                <w:b/>
                <w:sz w:val="24"/>
              </w:rPr>
              <w:t>Theory 55% / Application 45%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4"/>
              </w:rPr>
              <w:t>Teacher-centric 50% / Student-centric 50%</w:t>
            </w:r>
          </w:p>
        </w:tc>
        <w:tc>
          <w:tcPr>
            <w:tcW w:type="dxa" w:w="2041"/>
          </w:tcPr>
          <w:p>
            <w:r/>
            <w:r>
              <w:rPr>
                <w:color w:val="008000"/>
                <w:sz w:val="24"/>
              </w:rPr>
              <w:t>Strong practical-to-theory ratio; project + viva culture; modern modules (genomics, bioinformatics, IPR); employability linkage.</w:t>
            </w:r>
          </w:p>
        </w:tc>
        <w:tc>
          <w:tcPr>
            <w:tcW w:type="dxa" w:w="1928"/>
          </w:tcPr>
          <w:p>
            <w:r/>
            <w:r>
              <w:rPr>
                <w:color w:val="C00000"/>
                <w:sz w:val="24"/>
              </w:rPr>
              <w:t>Costly consumables limit hands-on depth; uneven instrumentation across affiliated colleges; limited bioethics &amp; biosafety hours.</w:t>
            </w:r>
          </w:p>
        </w:tc>
        <w:tc>
          <w:tcPr>
            <w:tcW w:type="dxa" w:w="1928"/>
          </w:tcPr>
          <w:p>
            <w:r/>
            <w:r>
              <w:rPr>
                <w:color w:val="0020A0"/>
                <w:sz w:val="24"/>
              </w:rPr>
              <w:t>No mandatory industrial internship credits; weak start-up/incubation linkage; sparse interdisciplinary electives (AI in biology, data science).</w:t>
            </w:r>
          </w:p>
        </w:tc>
      </w:tr>
      <w:tr>
        <w:tc>
          <w:tcPr>
            <w:tcW w:type="dxa" w:w="1814"/>
          </w:tcPr>
          <w:p>
            <w:r/>
            <w:r>
              <w:rPr>
                <w:b/>
                <w:sz w:val="24"/>
              </w:rPr>
              <w:t>M.Sc. Botany (PG)</w:t>
            </w:r>
          </w:p>
        </w:tc>
        <w:tc>
          <w:tcPr>
            <w:tcW w:type="dxa" w:w="1928"/>
          </w:tcPr>
          <w:p>
            <w:r/>
            <w:r>
              <w:rPr>
                <w:sz w:val="24"/>
              </w:rPr>
              <w:t>CBCS + NEP elective basket; field study &amp; herbarium work satisfy experiential learning.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L1–L3 dominant in core papers; L4–L6 in taxonomy projects &amp; dissertation.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Field-work logs and herbarium submissions are auditable; LMS/Google Classroom adoption needed for digital OBE.</w:t>
            </w:r>
          </w:p>
        </w:tc>
        <w:tc>
          <w:tcPr>
            <w:tcW w:type="dxa" w:w="2041"/>
          </w:tcPr>
          <w:p>
            <w:r/>
            <w:r>
              <w:rPr>
                <w:sz w:val="24"/>
              </w:rPr>
              <w:t>Lectures, lab practicals, field trips, herbarium project, seminar, viva.</w:t>
            </w:r>
          </w:p>
        </w:tc>
        <w:tc>
          <w:tcPr>
            <w:tcW w:type="dxa" w:w="1361"/>
          </w:tcPr>
          <w:p>
            <w:r/>
            <w:r>
              <w:rPr>
                <w:b/>
                <w:sz w:val="24"/>
              </w:rPr>
              <w:t>Theory 60% / Application 40%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4"/>
              </w:rPr>
              <w:t>Teacher-centric 60% / Student-centric 40%</w:t>
            </w:r>
          </w:p>
        </w:tc>
        <w:tc>
          <w:tcPr>
            <w:tcW w:type="dxa" w:w="2041"/>
          </w:tcPr>
          <w:p>
            <w:r/>
            <w:r>
              <w:rPr>
                <w:color w:val="008000"/>
                <w:sz w:val="24"/>
              </w:rPr>
              <w:t>Biodiversity &amp; ethnobotany modules of high regional/social relevance; strong field component; project + viva.</w:t>
            </w:r>
          </w:p>
        </w:tc>
        <w:tc>
          <w:tcPr>
            <w:tcW w:type="dxa" w:w="1928"/>
          </w:tcPr>
          <w:p>
            <w:r/>
            <w:r>
              <w:rPr>
                <w:color w:val="C00000"/>
                <w:sz w:val="24"/>
              </w:rPr>
              <w:t>Limited molecular &amp; computational botany content; assessment leans to recall; few interdisciplinary electives.</w:t>
            </w:r>
          </w:p>
        </w:tc>
        <w:tc>
          <w:tcPr>
            <w:tcW w:type="dxa" w:w="1928"/>
          </w:tcPr>
          <w:p>
            <w:r/>
            <w:r>
              <w:rPr>
                <w:color w:val="0020A0"/>
                <w:sz w:val="24"/>
              </w:rPr>
              <w:t>No credited MOOC/SWAYAM pathway; lacks formal mentoring schedule; weak industry/forest-dept linkage in syllabus text.</w:t>
            </w:r>
          </w:p>
        </w:tc>
      </w:tr>
      <w:tr>
        <w:tc>
          <w:tcPr>
            <w:tcW w:type="dxa" w:w="1814"/>
          </w:tcPr>
          <w:p>
            <w:r/>
            <w:r>
              <w:rPr>
                <w:b/>
                <w:sz w:val="24"/>
              </w:rPr>
              <w:t>M.Sc. Computer Science (PG)</w:t>
            </w:r>
          </w:p>
        </w:tc>
        <w:tc>
          <w:tcPr>
            <w:tcW w:type="dxa" w:w="1928"/>
          </w:tcPr>
          <w:p>
            <w:r/>
            <w:r>
              <w:rPr>
                <w:sz w:val="24"/>
              </w:rPr>
              <w:t>NEP-aligned credit pattern with electives; project work &amp; seminar embedded.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Good spread L1–L4; L5–L6 in capstone project; programming labs strengthen Apply/Analyse.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LMS, GitHub, online judges enable strong digital OBE; CO-PO attainment readily automatable.</w:t>
            </w:r>
          </w:p>
        </w:tc>
        <w:tc>
          <w:tcPr>
            <w:tcW w:type="dxa" w:w="2041"/>
          </w:tcPr>
          <w:p>
            <w:r/>
            <w:r>
              <w:rPr>
                <w:sz w:val="24"/>
              </w:rPr>
              <w:t>Lectures, programming labs, tutorials, seminars, mini &amp; major projects, viva.</w:t>
            </w:r>
          </w:p>
        </w:tc>
        <w:tc>
          <w:tcPr>
            <w:tcW w:type="dxa" w:w="1361"/>
          </w:tcPr>
          <w:p>
            <w:r/>
            <w:r>
              <w:rPr>
                <w:b/>
                <w:sz w:val="24"/>
              </w:rPr>
              <w:t>Theory 50% / Application 50%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4"/>
              </w:rPr>
              <w:t>Teacher-centric 45% / Student-centric 55%</w:t>
            </w:r>
          </w:p>
        </w:tc>
        <w:tc>
          <w:tcPr>
            <w:tcW w:type="dxa" w:w="2041"/>
          </w:tcPr>
          <w:p>
            <w:r/>
            <w:r>
              <w:rPr>
                <w:color w:val="008000"/>
                <w:sz w:val="24"/>
              </w:rPr>
              <w:t>High employability; strong lab + project culture; contemporary electives (ML, Data Science, Cloud); aligns with Digital India.</w:t>
            </w:r>
          </w:p>
        </w:tc>
        <w:tc>
          <w:tcPr>
            <w:tcW w:type="dxa" w:w="1928"/>
          </w:tcPr>
          <w:p>
            <w:r/>
            <w:r>
              <w:rPr>
                <w:color w:val="C00000"/>
                <w:sz w:val="24"/>
              </w:rPr>
              <w:t>Pace of curriculum revision trails industry; limited Gen-AI / DevOps / cybersecurity depth; uneven faculty expertise in new areas.</w:t>
            </w:r>
          </w:p>
        </w:tc>
        <w:tc>
          <w:tcPr>
            <w:tcW w:type="dxa" w:w="1928"/>
          </w:tcPr>
          <w:p>
            <w:r/>
            <w:r>
              <w:rPr>
                <w:color w:val="0020A0"/>
                <w:sz w:val="24"/>
              </w:rPr>
              <w:t>No mandatory industry internship credits; weak open-source / hackathon recognition; limited MOOC credit transfer pathway.</w:t>
            </w:r>
          </w:p>
        </w:tc>
      </w:tr>
      <w:tr>
        <w:tc>
          <w:tcPr>
            <w:tcW w:type="dxa" w:w="1814"/>
          </w:tcPr>
          <w:p>
            <w:r/>
            <w:r>
              <w:rPr>
                <w:b/>
                <w:sz w:val="24"/>
              </w:rPr>
              <w:t>M.A. Political Science (PG)</w:t>
            </w:r>
          </w:p>
        </w:tc>
        <w:tc>
          <w:tcPr>
            <w:tcW w:type="dxa" w:w="1928"/>
          </w:tcPr>
          <w:p>
            <w:r/>
            <w:r>
              <w:rPr>
                <w:sz w:val="24"/>
              </w:rPr>
              <w:t>CBCS + NEP electives; OBE template referenced; multidisciplinary openings.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Predominantly L1–L3; L4–L6 confined to dissertation/seminar.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Largely paper-based assessment; digital OBE possible via LMS quizzes &amp; e-portfolios.</w:t>
            </w:r>
          </w:p>
        </w:tc>
        <w:tc>
          <w:tcPr>
            <w:tcW w:type="dxa" w:w="2041"/>
          </w:tcPr>
          <w:p>
            <w:r/>
            <w:r>
              <w:rPr>
                <w:sz w:val="24"/>
              </w:rPr>
              <w:t>Lectures, tutorials, seminars, debates, dissertation, viva; field study limited.</w:t>
            </w:r>
          </w:p>
        </w:tc>
        <w:tc>
          <w:tcPr>
            <w:tcW w:type="dxa" w:w="1361"/>
          </w:tcPr>
          <w:p>
            <w:r/>
            <w:r>
              <w:rPr>
                <w:b/>
                <w:sz w:val="24"/>
              </w:rPr>
              <w:t>Theory 80% / Application 20%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4"/>
              </w:rPr>
              <w:t>Teacher-centric 70% / Student-centric 30%</w:t>
            </w:r>
          </w:p>
        </w:tc>
        <w:tc>
          <w:tcPr>
            <w:tcW w:type="dxa" w:w="2041"/>
          </w:tcPr>
          <w:p>
            <w:r/>
            <w:r>
              <w:rPr>
                <w:color w:val="008000"/>
                <w:sz w:val="24"/>
              </w:rPr>
              <w:t>Strong civic &amp; constitutional relevance; coverage of Indian polity, IR, public policy; dissertation + viva.</w:t>
            </w:r>
          </w:p>
        </w:tc>
        <w:tc>
          <w:tcPr>
            <w:tcW w:type="dxa" w:w="1928"/>
          </w:tcPr>
          <w:p>
            <w:r/>
            <w:r>
              <w:rPr>
                <w:color w:val="C00000"/>
                <w:sz w:val="24"/>
              </w:rPr>
              <w:t>Lecture-heavy delivery; limited policy-lab / data-driven analysis; few applied modules (governance analytics, GIS-policy).</w:t>
            </w:r>
          </w:p>
        </w:tc>
        <w:tc>
          <w:tcPr>
            <w:tcW w:type="dxa" w:w="1928"/>
          </w:tcPr>
          <w:p>
            <w:r/>
            <w:r>
              <w:rPr>
                <w:color w:val="0020A0"/>
                <w:sz w:val="24"/>
              </w:rPr>
              <w:t>No structured internship with legislature/PRIs/NGOs; weak digital OBE tracking; sparse MOOC integration.</w:t>
            </w:r>
          </w:p>
        </w:tc>
      </w:tr>
      <w:tr>
        <w:tc>
          <w:tcPr>
            <w:tcW w:type="dxa" w:w="1814"/>
          </w:tcPr>
          <w:p>
            <w:r/>
            <w:r>
              <w:rPr>
                <w:b/>
                <w:sz w:val="24"/>
              </w:rPr>
              <w:t>M.Sc. Fashion Design</w:t>
            </w:r>
          </w:p>
        </w:tc>
        <w:tc>
          <w:tcPr>
            <w:tcW w:type="dxa" w:w="1928"/>
          </w:tcPr>
          <w:p>
            <w:r/>
            <w:r>
              <w:rPr>
                <w:sz w:val="24"/>
              </w:rPr>
              <w:t>Studio + theory + internship model fits NEP skill-orientation; OBE outcomes explicit in syllabus.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Strong L3–L6 via design studios &amp; portfolio; L1–L2 in history/theory papers.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Portfolio, jury, rubric-based assessment — naturally outcome-based; digitisable via e-portfolio LMS.</w:t>
            </w:r>
          </w:p>
        </w:tc>
        <w:tc>
          <w:tcPr>
            <w:tcW w:type="dxa" w:w="2041"/>
          </w:tcPr>
          <w:p>
            <w:r/>
            <w:r>
              <w:rPr>
                <w:sz w:val="24"/>
              </w:rPr>
              <w:t>Studio practice, CAD lab, design projects, industry internship, jury viva, mentoring.</w:t>
            </w:r>
          </w:p>
        </w:tc>
        <w:tc>
          <w:tcPr>
            <w:tcW w:type="dxa" w:w="1361"/>
          </w:tcPr>
          <w:p>
            <w:r/>
            <w:r>
              <w:rPr>
                <w:b/>
                <w:sz w:val="24"/>
              </w:rPr>
              <w:t>Theory 35% / Application 65%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4"/>
              </w:rPr>
              <w:t>Teacher-centric 35% / Student-centric 65%</w:t>
            </w:r>
          </w:p>
        </w:tc>
        <w:tc>
          <w:tcPr>
            <w:tcW w:type="dxa" w:w="2041"/>
          </w:tcPr>
          <w:p>
            <w:r/>
            <w:r>
              <w:rPr>
                <w:color w:val="008000"/>
                <w:sz w:val="24"/>
              </w:rPr>
              <w:t>Highly applied; portfolio &amp; jury culture; industry internship; sustainability &amp; Indian textiles social relevance.</w:t>
            </w:r>
          </w:p>
        </w:tc>
        <w:tc>
          <w:tcPr>
            <w:tcW w:type="dxa" w:w="1928"/>
          </w:tcPr>
          <w:p>
            <w:r/>
            <w:r>
              <w:rPr>
                <w:color w:val="C00000"/>
                <w:sz w:val="24"/>
              </w:rPr>
              <w:t>High studio cost; uneven access to industry-grade CAD/CAM; limited research/thesis component.</w:t>
            </w:r>
          </w:p>
        </w:tc>
        <w:tc>
          <w:tcPr>
            <w:tcW w:type="dxa" w:w="1928"/>
          </w:tcPr>
          <w:p>
            <w:r/>
            <w:r>
              <w:rPr>
                <w:color w:val="0020A0"/>
                <w:sz w:val="24"/>
              </w:rPr>
              <w:t>Weak linkage with handloom clusters &amp; MSMEs in syllabus text; limited entrepreneurship &amp; e-commerce modules; sparse digital OBE dashboard.</w:t>
            </w:r>
          </w:p>
        </w:tc>
      </w:tr>
      <w:tr>
        <w:tc>
          <w:tcPr>
            <w:tcW w:type="dxa" w:w="1814"/>
          </w:tcPr>
          <w:p>
            <w:r/>
            <w:r>
              <w:rPr>
                <w:b/>
                <w:sz w:val="24"/>
              </w:rPr>
              <w:t>M.Sc. Food Technology (PG)</w:t>
            </w:r>
          </w:p>
        </w:tc>
        <w:tc>
          <w:tcPr>
            <w:tcW w:type="dxa" w:w="1928"/>
          </w:tcPr>
          <w:p>
            <w:r/>
            <w:r>
              <w:rPr>
                <w:sz w:val="24"/>
              </w:rPr>
              <w:t>NEP-aligned with project, internship, OJT components; CBCS credits.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Balanced L1–L5; lab + project drive Apply/Analyse/Create.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Lab rubrics, FSSAI-aligned outcomes digitisable; QA records map well to OBE.</w:t>
            </w:r>
          </w:p>
        </w:tc>
        <w:tc>
          <w:tcPr>
            <w:tcW w:type="dxa" w:w="2041"/>
          </w:tcPr>
          <w:p>
            <w:r/>
            <w:r>
              <w:rPr>
                <w:sz w:val="24"/>
              </w:rPr>
              <w:t>Lectures, food labs, plant visits, internship, project, viva.</w:t>
            </w:r>
          </w:p>
        </w:tc>
        <w:tc>
          <w:tcPr>
            <w:tcW w:type="dxa" w:w="1361"/>
          </w:tcPr>
          <w:p>
            <w:r/>
            <w:r>
              <w:rPr>
                <w:b/>
                <w:sz w:val="24"/>
              </w:rPr>
              <w:t>Theory 50% / Application 50%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4"/>
              </w:rPr>
              <w:t>Teacher-centric 50% / Student-centric 50%</w:t>
            </w:r>
          </w:p>
        </w:tc>
        <w:tc>
          <w:tcPr>
            <w:tcW w:type="dxa" w:w="2041"/>
          </w:tcPr>
          <w:p>
            <w:r/>
            <w:r>
              <w:rPr>
                <w:color w:val="008000"/>
                <w:sz w:val="24"/>
              </w:rPr>
              <w:t>Industry relevance (FSSAI, dairy, post-harvest); rural &amp; nutrition impact; strong practical + internship.</w:t>
            </w:r>
          </w:p>
        </w:tc>
        <w:tc>
          <w:tcPr>
            <w:tcW w:type="dxa" w:w="1928"/>
          </w:tcPr>
          <w:p>
            <w:r/>
            <w:r>
              <w:rPr>
                <w:color w:val="C00000"/>
                <w:sz w:val="24"/>
              </w:rPr>
              <w:t>Pilot-plant access uneven; limited sensory-analytics &amp; food-data modules; regulatory updates lag.</w:t>
            </w:r>
          </w:p>
        </w:tc>
        <w:tc>
          <w:tcPr>
            <w:tcW w:type="dxa" w:w="1928"/>
          </w:tcPr>
          <w:p>
            <w:r/>
            <w:r>
              <w:rPr>
                <w:color w:val="0020A0"/>
                <w:sz w:val="24"/>
              </w:rPr>
              <w:t>No mandatory MSME / FPO linkage; weak start-up incubation pathway; limited interdisciplinary electives (AI in food, packaging IoT).</w:t>
            </w:r>
          </w:p>
        </w:tc>
      </w:tr>
      <w:tr>
        <w:tc>
          <w:tcPr>
            <w:tcW w:type="dxa" w:w="1814"/>
          </w:tcPr>
          <w:p>
            <w:r/>
            <w:r>
              <w:rPr>
                <w:b/>
                <w:sz w:val="24"/>
              </w:rPr>
              <w:t>M.A. History (PG)</w:t>
            </w:r>
          </w:p>
        </w:tc>
        <w:tc>
          <w:tcPr>
            <w:tcW w:type="dxa" w:w="1928"/>
          </w:tcPr>
          <w:p>
            <w:r/>
            <w:r>
              <w:rPr>
                <w:sz w:val="24"/>
              </w:rPr>
              <w:t>CBCS + NEP electives; dissertation + viva embedded.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Dominant L1–L2 (Remember/Understand); L4–L6 only in research project.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Mostly written-exam; digital OBE needs LMS adoption &amp; e-portfolios.</w:t>
            </w:r>
          </w:p>
        </w:tc>
        <w:tc>
          <w:tcPr>
            <w:tcW w:type="dxa" w:w="2041"/>
          </w:tcPr>
          <w:p>
            <w:r/>
            <w:r>
              <w:rPr>
                <w:sz w:val="24"/>
              </w:rPr>
              <w:t>Lectures, tutorials, archival/field visits, seminar, dissertation, viva.</w:t>
            </w:r>
          </w:p>
        </w:tc>
        <w:tc>
          <w:tcPr>
            <w:tcW w:type="dxa" w:w="1361"/>
          </w:tcPr>
          <w:p>
            <w:r/>
            <w:r>
              <w:rPr>
                <w:b/>
                <w:sz w:val="24"/>
              </w:rPr>
              <w:t>Theory 85% / Application 15%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4"/>
              </w:rPr>
              <w:t>Teacher-centric 75% / Student-centric 25%</w:t>
            </w:r>
          </w:p>
        </w:tc>
        <w:tc>
          <w:tcPr>
            <w:tcW w:type="dxa" w:w="2041"/>
          </w:tcPr>
          <w:p>
            <w:r/>
            <w:r>
              <w:rPr>
                <w:color w:val="008000"/>
                <w:sz w:val="24"/>
              </w:rPr>
              <w:t>Rich regional/Indian history content; heritage &amp; archival relevance; dissertation culture.</w:t>
            </w:r>
          </w:p>
        </w:tc>
        <w:tc>
          <w:tcPr>
            <w:tcW w:type="dxa" w:w="1928"/>
          </w:tcPr>
          <w:p>
            <w:r/>
            <w:r>
              <w:rPr>
                <w:color w:val="C00000"/>
                <w:sz w:val="24"/>
              </w:rPr>
              <w:t>Heavy descriptive load; limited digital humanities / GIS / oral-history methods; assessment recall-heavy.</w:t>
            </w:r>
          </w:p>
        </w:tc>
        <w:tc>
          <w:tcPr>
            <w:tcW w:type="dxa" w:w="1928"/>
          </w:tcPr>
          <w:p>
            <w:r/>
            <w:r>
              <w:rPr>
                <w:color w:val="0020A0"/>
                <w:sz w:val="24"/>
              </w:rPr>
              <w:t>No museum/archive internship credits; weak MOOC integration; sparse mentoring &amp; e-portfolio mechanisms.</w:t>
            </w:r>
          </w:p>
        </w:tc>
      </w:tr>
      <w:tr>
        <w:tc>
          <w:tcPr>
            <w:tcW w:type="dxa" w:w="1814"/>
          </w:tcPr>
          <w:p>
            <w:r/>
            <w:r>
              <w:rPr>
                <w:b/>
                <w:sz w:val="24"/>
              </w:rPr>
              <w:t>MCA – Master of Computer Applications</w:t>
            </w:r>
          </w:p>
        </w:tc>
        <w:tc>
          <w:tcPr>
            <w:tcW w:type="dxa" w:w="1928"/>
          </w:tcPr>
          <w:p>
            <w:r/>
            <w:r>
              <w:rPr>
                <w:sz w:val="24"/>
              </w:rPr>
              <w:t>AICTE + NEP aligned; credit structure, internship &amp; major project mandated; OBE COs/POs explicit.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Good L1–L5 coverage; capstone project pushes L6 (Create).</w:t>
            </w:r>
          </w:p>
        </w:tc>
        <w:tc>
          <w:tcPr>
            <w:tcW w:type="dxa" w:w="1701"/>
          </w:tcPr>
          <w:p>
            <w:r/>
            <w:r>
              <w:rPr>
                <w:sz w:val="24"/>
              </w:rPr>
              <w:t>Highly amenable to digital OBE (LMS, GitHub, code-review, online tests); analytics-ready.</w:t>
            </w:r>
          </w:p>
        </w:tc>
        <w:tc>
          <w:tcPr>
            <w:tcW w:type="dxa" w:w="2041"/>
          </w:tcPr>
          <w:p>
            <w:r/>
            <w:r>
              <w:rPr>
                <w:sz w:val="24"/>
              </w:rPr>
              <w:t>Lectures, labs, tutorials, seminars, mini-project, major project, industry internship, viva.</w:t>
            </w:r>
          </w:p>
        </w:tc>
        <w:tc>
          <w:tcPr>
            <w:tcW w:type="dxa" w:w="1361"/>
          </w:tcPr>
          <w:p>
            <w:r/>
            <w:r>
              <w:rPr>
                <w:b/>
                <w:sz w:val="24"/>
              </w:rPr>
              <w:t>Theory 45% / Application 55%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4"/>
              </w:rPr>
              <w:t>Teacher-centric 40% / Student-centric 60%</w:t>
            </w:r>
          </w:p>
        </w:tc>
        <w:tc>
          <w:tcPr>
            <w:tcW w:type="dxa" w:w="2041"/>
          </w:tcPr>
          <w:p>
            <w:r/>
            <w:r>
              <w:rPr>
                <w:color w:val="008000"/>
                <w:sz w:val="24"/>
              </w:rPr>
              <w:t>Strong employability orientation; mandatory internship + project; modern electives (AI/ML, Cloud, Cyber, Data Science); aligns with Digital India / national skill mission.</w:t>
            </w:r>
          </w:p>
        </w:tc>
        <w:tc>
          <w:tcPr>
            <w:tcW w:type="dxa" w:w="1928"/>
          </w:tcPr>
          <w:p>
            <w:r/>
            <w:r>
              <w:rPr>
                <w:color w:val="C00000"/>
                <w:sz w:val="24"/>
              </w:rPr>
              <w:t>Curriculum-to-industry lag in emerging stacks (Gen-AI, MLOps); uneven lab infrastructure across centres; limited soft-skill &amp; ethics depth.</w:t>
            </w:r>
          </w:p>
        </w:tc>
        <w:tc>
          <w:tcPr>
            <w:tcW w:type="dxa" w:w="1928"/>
          </w:tcPr>
          <w:p>
            <w:r/>
            <w:r>
              <w:rPr>
                <w:color w:val="0020A0"/>
                <w:sz w:val="24"/>
              </w:rPr>
              <w:t>Limited credited MOOC/SWAYAM pathway; weak start-up / IPR / patent track; sparse interdisciplinary openings (fintech, health-IT).</w:t>
            </w:r>
          </w:p>
        </w:tc>
      </w:tr>
    </w:tbl>
    <w:p/>
    <w:p>
      <w:r>
        <w:rPr>
          <w:b/>
          <w:sz w:val="28"/>
        </w:rPr>
        <w:t>Cross-Programme Synthesis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969"/>
        <w:gridCol w:w="11339"/>
      </w:tblGrid>
      <w:tr>
        <w:tc>
          <w:tcPr>
            <w:tcW w:type="dxa" w:w="7240"/>
            <w:shd w:fill="D9E1F2"/>
          </w:tcPr>
          <w:p>
            <w:r/>
            <w:r>
              <w:rPr>
                <w:b/>
                <w:sz w:val="24"/>
              </w:rPr>
              <w:t>Aspect</w:t>
            </w:r>
          </w:p>
        </w:tc>
        <w:tc>
          <w:tcPr>
            <w:tcW w:type="dxa" w:w="7240"/>
            <w:shd w:fill="D9E1F2"/>
          </w:tcPr>
          <w:p>
            <w:r/>
            <w:r>
              <w:rPr>
                <w:b/>
                <w:sz w:val="24"/>
              </w:rPr>
              <w:t>Observation</w:t>
            </w:r>
          </w:p>
        </w:tc>
      </w:tr>
      <w:tr>
        <w:tc>
          <w:tcPr>
            <w:tcW w:type="dxa" w:w="3969"/>
          </w:tcPr>
          <w:p>
            <w:r/>
            <w:r>
              <w:rPr>
                <w:b/>
                <w:sz w:val="24"/>
              </w:rPr>
              <w:t>Average Theory : Application across 9 programmes</w:t>
            </w:r>
          </w:p>
        </w:tc>
        <w:tc>
          <w:tcPr>
            <w:tcW w:type="dxa" w:w="11339"/>
          </w:tcPr>
          <w:p>
            <w:r/>
            <w:r>
              <w:rPr>
                <w:sz w:val="24"/>
              </w:rPr>
              <w:t>≈ 58% Theory : 42% Application — Science/Tech/Design programmes lift the applied share; Humanities &amp; Social Sciences are theory-heavy.</w:t>
            </w:r>
          </w:p>
        </w:tc>
      </w:tr>
      <w:tr>
        <w:tc>
          <w:tcPr>
            <w:tcW w:type="dxa" w:w="3969"/>
          </w:tcPr>
          <w:p>
            <w:r/>
            <w:r>
              <w:rPr>
                <w:b/>
                <w:sz w:val="24"/>
              </w:rPr>
              <w:t>Average Teacher-centric : Student-centric</w:t>
            </w:r>
          </w:p>
        </w:tc>
        <w:tc>
          <w:tcPr>
            <w:tcW w:type="dxa" w:w="11339"/>
          </w:tcPr>
          <w:p>
            <w:r/>
            <w:r>
              <w:rPr>
                <w:sz w:val="24"/>
              </w:rPr>
              <w:t>≈ 53% Teacher-centric : 47% Student-centric — Studio (Fashion), MCA and Computer Science are most student-centric; History &amp; Political Science are most teacher-centric.</w:t>
            </w:r>
          </w:p>
        </w:tc>
      </w:tr>
      <w:tr>
        <w:tc>
          <w:tcPr>
            <w:tcW w:type="dxa" w:w="3969"/>
          </w:tcPr>
          <w:p>
            <w:r/>
            <w:r>
              <w:rPr>
                <w:b/>
                <w:sz w:val="24"/>
              </w:rPr>
              <w:t>NEP 2020 alignment</w:t>
            </w:r>
          </w:p>
        </w:tc>
        <w:tc>
          <w:tcPr>
            <w:tcW w:type="dxa" w:w="11339"/>
          </w:tcPr>
          <w:p>
            <w:r/>
            <w:r>
              <w:rPr>
                <w:color w:val="008000"/>
                <w:sz w:val="24"/>
              </w:rPr>
              <w:t>Credit structure, multidisciplinary electives, project/internship and OBE templates are present; multiple-entry/exit, ABC (Academic Bank of Credits) and MOOC credit transfer are not explicitly operationalised in most syllabi.</w:t>
            </w:r>
          </w:p>
        </w:tc>
      </w:tr>
      <w:tr>
        <w:tc>
          <w:tcPr>
            <w:tcW w:type="dxa" w:w="3969"/>
          </w:tcPr>
          <w:p>
            <w:r/>
            <w:r>
              <w:rPr>
                <w:b/>
                <w:sz w:val="24"/>
              </w:rPr>
              <w:t>NAAC readiness</w:t>
            </w:r>
          </w:p>
        </w:tc>
        <w:tc>
          <w:tcPr>
            <w:tcW w:type="dxa" w:w="11339"/>
          </w:tcPr>
          <w:p>
            <w:r/>
            <w:r>
              <w:rPr>
                <w:color w:val="0020A0"/>
                <w:sz w:val="24"/>
              </w:rPr>
              <w:t>OBE (COs/POs) is documented; attainment computation, rubrics and digital evidence trails need strengthening for SSR.</w:t>
            </w:r>
          </w:p>
        </w:tc>
      </w:tr>
      <w:tr>
        <w:tc>
          <w:tcPr>
            <w:tcW w:type="dxa" w:w="3969"/>
          </w:tcPr>
          <w:p>
            <w:r/>
            <w:r>
              <w:rPr>
                <w:b/>
                <w:sz w:val="24"/>
              </w:rPr>
              <w:t>Bloom's Taxonomy</w:t>
            </w:r>
          </w:p>
        </w:tc>
        <w:tc>
          <w:tcPr>
            <w:tcW w:type="dxa" w:w="11339"/>
          </w:tcPr>
          <w:p>
            <w:r/>
            <w:r>
              <w:rPr>
                <w:color w:val="C00000"/>
                <w:sz w:val="24"/>
              </w:rPr>
              <w:t>Most syllabi over-weight L1–L3; higher-order L4–L6 is concentrated in dissertation/project/viva. Embedding case studies, problem-based learning and design challenges in core papers is recommended.</w:t>
            </w:r>
          </w:p>
        </w:tc>
      </w:tr>
      <w:tr>
        <w:tc>
          <w:tcPr>
            <w:tcW w:type="dxa" w:w="3969"/>
          </w:tcPr>
          <w:p>
            <w:r/>
            <w:r>
              <w:rPr>
                <w:b/>
                <w:sz w:val="24"/>
              </w:rPr>
              <w:t>Digital tracking of outcomes</w:t>
            </w:r>
          </w:p>
        </w:tc>
        <w:tc>
          <w:tcPr>
            <w:tcW w:type="dxa" w:w="11339"/>
          </w:tcPr>
          <w:p>
            <w:r/>
            <w:r>
              <w:rPr>
                <w:color w:val="008000"/>
                <w:sz w:val="24"/>
              </w:rPr>
              <w:t>Feasible university-wide via an LMS + e-portfolio + CO-PO attainment dashboard. MCA, CS, Biotech, Food-Tech, Fashion can adopt quickly; Humanities need rubric digitisation.</w:t>
            </w:r>
          </w:p>
        </w:tc>
      </w:tr>
      <w:tr>
        <w:tc>
          <w:tcPr>
            <w:tcW w:type="dxa" w:w="3969"/>
          </w:tcPr>
          <w:p>
            <w:r/>
            <w:r>
              <w:rPr>
                <w:b/>
                <w:sz w:val="24"/>
              </w:rPr>
              <w:t>Social relevance</w:t>
            </w:r>
          </w:p>
        </w:tc>
        <w:tc>
          <w:tcPr>
            <w:tcW w:type="dxa" w:w="11339"/>
          </w:tcPr>
          <w:p>
            <w:r/>
            <w:r>
              <w:rPr>
                <w:color w:val="008000"/>
                <w:sz w:val="24"/>
              </w:rPr>
              <w:t>Strong in Criminology, Botany (biodiversity/ethnobotany), Food-Tech (nutrition/FSSAI), Fashion (handloom/sustainability), Political Science (governance), History (heritage).</w:t>
            </w:r>
          </w:p>
        </w:tc>
      </w:tr>
      <w:tr>
        <w:tc>
          <w:tcPr>
            <w:tcW w:type="dxa" w:w="3969"/>
          </w:tcPr>
          <w:p>
            <w:r/>
            <w:r>
              <w:rPr>
                <w:b/>
                <w:sz w:val="24"/>
              </w:rPr>
              <w:t>Common shortcomings</w:t>
            </w:r>
          </w:p>
        </w:tc>
        <w:tc>
          <w:tcPr>
            <w:tcW w:type="dxa" w:w="11339"/>
          </w:tcPr>
          <w:p>
            <w:r/>
            <w:r>
              <w:rPr>
                <w:color w:val="0020A0"/>
                <w:sz w:val="24"/>
              </w:rPr>
              <w:t>Limited MOOC/SWAYAM credit transfer, weak structured mentoring logs, sparse industry/agency MoUs in syllabus text, and no uniform digital OBE dashboard.</w:t>
            </w:r>
          </w:p>
        </w:tc>
      </w:tr>
    </w:tbl>
    <w:p/>
    <w:p>
      <w:r>
        <w:rPr>
          <w:i/>
          <w:sz w:val="24"/>
        </w:rPr>
        <w:t>Recommendation: Adopt a university-wide LMS with OBE attainment dashboards, ABC integration, MOOC/SWAYAM credit transfer policy, mandatory industry/agency internships with rubric-based viva, and embed L4–L6 Bloom-level tasks (case-based, problem-based, project-based) in every core paper to make Davangere University PG education truly applied and socially relevant.</w:t>
      </w:r>
    </w:p>
    <w:sectPr w:rsidR="00FC693F" w:rsidRPr="0006063C" w:rsidSect="00034616">
      <w:pgSz w:w="15840" w:h="12240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