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Curriculum vs. Syllabus: A Comparative Overview</w:t>
      </w:r>
    </w:p>
    <w:p>
      <w:pPr>
        <w:spacing w:after="200"/>
      </w:pPr>
      <w:r>
        <w:rPr>
          <w:i/>
          <w:iCs/>
          <w:color w:val="555555"/>
          <w:sz w:val="22"/>
          <w:szCs w:val="22"/>
        </w:rPr>
        <w:t xml:space="preserve">Key differences across objectives, structure, assessment, and outcomes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400"/>
        <w:gridCol w:w="5400"/>
      </w:tblGrid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A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Parameter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A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Curriculum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A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Syllabus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Definition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A comprehensive educational plan/framework covering the entire program or grade level.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A detailed document for a specific course/subject outlining what will be taught.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Objectives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Defines broad learning goals, institutional mission, and graduate attributes.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States specific course outcomes, topics, and learning objectives.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Scope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Wide; covers multiple subjects, courses, and the overall academic experience.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Narrow; limited to one course or subject within a defined timeframe.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Structure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Includes philosophy, aims, content areas, teaching methods, assessment, and resources.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Includes course topics, units, readings, schedule, assignments, and evaluation criteria.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Content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Outlines the entire body of knowledge and skills to be delivered across a program.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Details the specific topics, sub-topics, and readings for one course.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Time Frame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Long-term; spans the entire program duration (e.g., 2–4 years).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Short-term; usually spans one semester or academic term.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Assessment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Specifies overall evaluation policy, credit system, and grading framework.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Lists internal assessment, exams, quizzes, projects, and weightage.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Outcomes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Program-level outcomes (PLOs) aligned with NEP 2020, UGC, and accreditation standards.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Course-level outcomes (CLOs) linked to Bloom’s Taxonomy levels.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Flexibility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Developed by boards/universities; relatively rigid and standardized.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Prepared by teachers; can be adjusted to class needs and context.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E5A88"/>
                <w:sz w:val="24"/>
                <w:szCs w:val="24"/>
              </w:rPr>
              <w:t xml:space="preserve">Examples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B.A. Program Curriculum, NCF, NEP-aligned framework, accreditation criteria.</w:t>
            </w:r>
          </w:p>
        </w:tc>
        <w:tc>
          <w:tcPr>
            <w:tcW w:type="dxa" w:w="5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000000"/>
                <w:sz w:val="24"/>
                <w:szCs w:val="24"/>
              </w:rPr>
              <w:t xml:space="preserve">Course handout for Data Structures, Geography of India, or Research Methods.</w:t>
            </w:r>
          </w:p>
        </w:tc>
      </w:tr>
    </w:tbl>
    <w:sectPr>
      <w:pgSz w:w="15840" w:h="122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jc w:val="center"/>
      <w:outlineLvl w:val="0"/>
    </w:pPr>
    <w:rPr>
      <w:rFonts w:ascii="Arial" w:cs="Arial" w:eastAsia="Arial" w:hAnsi="Arial"/>
      <w:b/>
      <w:bCs/>
      <w:color w:val="2E5A88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2026-06-28T02:02:42.823Z</dcterms:created>
  <dcterms:modified xsi:type="dcterms:W3CDTF">2026-06-28T02:02:42.823Z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