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600"/>
        <w:jc w:val="center"/>
      </w:pPr>
      <w:r>
        <w:rPr>
          <w:rFonts w:ascii="Calibri" w:cs="Calibri" w:eastAsia="Calibri" w:hAnsi="Calibri"/>
          <w:b/>
          <w:bCs/>
          <w:color w:val="1E2761"/>
          <w:sz w:val="52"/>
          <w:szCs w:val="52"/>
        </w:rPr>
        <w:t xml:space="preserve">CRITICAL ANALYSIS OF POST-GRADUATE SYLLABI</w:t>
      </w:r>
    </w:p>
    <w:p>
      <w:pPr>
        <w:spacing w:after="0" w:before="120"/>
        <w:jc w:val="center"/>
      </w:pPr>
      <w:r>
        <w:rPr>
          <w:rFonts w:ascii="Calibri" w:cs="Calibri" w:eastAsia="Calibri" w:hAnsi="Calibri"/>
          <w:b/>
          <w:bCs/>
          <w:color w:val="B85042"/>
          <w:sz w:val="30"/>
          <w:szCs w:val="30"/>
        </w:rPr>
        <w:t xml:space="preserve">Babasaheb Bhimrao Ambedkar Bihar University, Muzaffarpur</w:t>
      </w:r>
    </w:p>
    <w:p>
      <w:pPr>
        <w:spacing w:after="0" w:before="200"/>
        <w:jc w:val="center"/>
      </w:pPr>
      <w:r>
        <w:rPr>
          <w:rFonts w:ascii="Calibri" w:cs="Calibri" w:eastAsia="Calibri" w:hAnsi="Calibri"/>
          <w:i/>
          <w:iCs/>
          <w:color w:val="555555"/>
          <w:sz w:val="22"/>
          <w:szCs w:val="22"/>
        </w:rPr>
        <w:t xml:space="preserve">Evaluation against UGC Norms · NEP 2020 · NAAC · Bloom's Taxonomy · Outcome-Based &amp; Digitally-Trackable Education</w:t>
      </w:r>
    </w:p>
    <w:p>
      <w:pPr>
        <w:spacing w:after="0" w:before="160"/>
        <w:jc w:val="center"/>
      </w:pPr>
      <w:r>
        <w:rPr>
          <w:rFonts w:ascii="Calibri" w:cs="Calibri" w:eastAsia="Calibri" w:hAnsi="Calibri"/>
          <w:color w:val="555555"/>
          <w:sz w:val="18"/>
          <w:szCs w:val="18"/>
        </w:rPr>
        <w:t xml:space="preserve">Disciplines reviewed: Geography · Ancient Indian History &amp; Culture (AIHC) · Commerce &amp; Management · Economics · Botany · MBA (CBCS) · Hindi · Bengali · Bhojpuri</w:t>
      </w:r>
    </w:p>
    <w:p>
      <w:pPr>
        <w:pageBreakBefore/>
      </w:pPr>
    </w:p>
    <w:p>
      <w:pPr>
        <w:pStyle w:val="Heading1"/>
        <w:spacing w:after="160" w:before="320"/>
      </w:pPr>
      <w:r>
        <w:rPr>
          <w:rFonts w:ascii="Calibri" w:cs="Calibri" w:eastAsia="Calibri" w:hAnsi="Calibri"/>
          <w:b/>
          <w:bCs/>
          <w:color w:val="1E2761"/>
          <w:sz w:val="30"/>
          <w:szCs w:val="30"/>
        </w:rPr>
        <w:t xml:space="preserve">1.  Scope, Documents Reviewed and Method</w:t>
      </w:r>
    </w:p>
    <w:p>
      <w:pPr>
        <w:spacing w:after="120" w:line="264"/>
        <w:jc w:val="both"/>
      </w:pPr>
      <w:r>
        <w:rPr>
          <w:rFonts w:ascii="Calibri" w:cs="Calibri" w:eastAsia="Calibri" w:hAnsi="Calibri"/>
          <w:color w:val="222222"/>
          <w:sz w:val="21"/>
          <w:szCs w:val="21"/>
        </w:rPr>
        <w:t xml:space="preserve">This report critically examines nine post-graduate syllabus documents issued by Babasaheb Bhimrao Ambedkar Bihar University (BRABU), Muzaffarpur, under the Choice Based Credit System (CBCS). The syllabi are assessed against the regulatory and pedagogic frameworks that now govern Indian higher education: the UGC Credit Framework and Learning Outcomes-based Curriculum Framework (LOCF), the National Education Policy (NEP) 2020, the NAAC accreditation criteria, and the cognitive structure of Bloom's Taxonomy. The analysis further considers the feasibility of digitally tracking education outcomes and the integration of class teaching, tutorials, mentoring and self-study so that the curriculum becomes applied and socially relevant.</w:t>
      </w:r>
    </w:p>
    <w:tbl>
      <w:tblPr>
        <w:tblW w:type="dxa" w:w="13680"/>
        <w:tblBorders>
          <w:top w:val="single" w:color="auto" w:sz="4"/>
          <w:left w:val="single" w:color="auto" w:sz="4"/>
          <w:bottom w:val="single" w:color="auto" w:sz="4"/>
          <w:right w:val="single" w:color="auto" w:sz="4"/>
          <w:insideH w:val="single" w:color="auto" w:sz="4"/>
          <w:insideV w:val="single" w:color="auto" w:sz="4"/>
        </w:tblBorders>
      </w:tblPr>
      <w:tblGrid>
        <w:gridCol w:w="2600"/>
        <w:gridCol w:w="1500"/>
        <w:gridCol w:w="2300"/>
        <w:gridCol w:w="7280"/>
      </w:tblGrid>
      <w:tr>
        <w:trPr>
          <w:tblHeader/>
        </w:trPr>
        <w:tc>
          <w:tcPr>
            <w:tcW w:type="dxa" w:w="2600"/>
            <w:tcBorders>
              <w:top w:val="single" w:color="BFCAD8" w:sz="4"/>
              <w:left w:val="single" w:color="BFCAD8" w:sz="4"/>
              <w:bottom w:val="single" w:color="BFCAD8" w:sz="4"/>
              <w:right w:val="single" w:color="BFCAD8" w:sz="4"/>
            </w:tcBorders>
            <w:shd w:fill="1E2761" w:color="auto" w:val="clear"/>
            <w:tcMar>
              <w:top w:type="dxa" w:w="70"/>
              <w:left w:type="dxa" w:w="110"/>
              <w:bottom w:type="dxa" w:w="70"/>
              <w:right w:type="dxa" w:w="110"/>
            </w:tcMar>
          </w:tcPr>
          <w:p>
            <w:pPr>
              <w:jc w:val="center"/>
            </w:pPr>
            <w:r>
              <w:rPr>
                <w:rFonts w:ascii="Calibri" w:cs="Calibri" w:eastAsia="Calibri" w:hAnsi="Calibri"/>
                <w:b/>
                <w:bCs/>
                <w:color w:val="FFFFFF"/>
                <w:sz w:val="19"/>
                <w:szCs w:val="19"/>
              </w:rPr>
              <w:t xml:space="preserve">Discipline / Programme</w:t>
            </w:r>
          </w:p>
        </w:tc>
        <w:tc>
          <w:tcPr>
            <w:tcW w:type="dxa" w:w="1500"/>
            <w:tcBorders>
              <w:top w:val="single" w:color="BFCAD8" w:sz="4"/>
              <w:left w:val="single" w:color="BFCAD8" w:sz="4"/>
              <w:bottom w:val="single" w:color="BFCAD8" w:sz="4"/>
              <w:right w:val="single" w:color="BFCAD8" w:sz="4"/>
            </w:tcBorders>
            <w:shd w:fill="1E2761" w:color="auto" w:val="clear"/>
            <w:tcMar>
              <w:top w:type="dxa" w:w="70"/>
              <w:left w:type="dxa" w:w="110"/>
              <w:bottom w:type="dxa" w:w="70"/>
              <w:right w:type="dxa" w:w="110"/>
            </w:tcMar>
          </w:tcPr>
          <w:p>
            <w:pPr>
              <w:jc w:val="center"/>
            </w:pPr>
            <w:r>
              <w:rPr>
                <w:rFonts w:ascii="Calibri" w:cs="Calibri" w:eastAsia="Calibri" w:hAnsi="Calibri"/>
                <w:b/>
                <w:bCs/>
                <w:color w:val="FFFFFF"/>
                <w:sz w:val="19"/>
                <w:szCs w:val="19"/>
              </w:rPr>
              <w:t xml:space="preserve">Structure</w:t>
            </w:r>
          </w:p>
        </w:tc>
        <w:tc>
          <w:tcPr>
            <w:tcW w:type="dxa" w:w="2300"/>
            <w:tcBorders>
              <w:top w:val="single" w:color="BFCAD8" w:sz="4"/>
              <w:left w:val="single" w:color="BFCAD8" w:sz="4"/>
              <w:bottom w:val="single" w:color="BFCAD8" w:sz="4"/>
              <w:right w:val="single" w:color="BFCAD8" w:sz="4"/>
            </w:tcBorders>
            <w:shd w:fill="1E2761" w:color="auto" w:val="clear"/>
            <w:tcMar>
              <w:top w:type="dxa" w:w="70"/>
              <w:left w:type="dxa" w:w="110"/>
              <w:bottom w:type="dxa" w:w="70"/>
              <w:right w:type="dxa" w:w="110"/>
            </w:tcMar>
          </w:tcPr>
          <w:p>
            <w:pPr>
              <w:jc w:val="center"/>
            </w:pPr>
            <w:r>
              <w:rPr>
                <w:rFonts w:ascii="Calibri" w:cs="Calibri" w:eastAsia="Calibri" w:hAnsi="Calibri"/>
                <w:b/>
                <w:bCs/>
                <w:color w:val="FFFFFF"/>
                <w:sz w:val="19"/>
                <w:szCs w:val="19"/>
              </w:rPr>
              <w:t xml:space="preserve">Pedagogic Orientation</w:t>
            </w:r>
          </w:p>
        </w:tc>
        <w:tc>
          <w:tcPr>
            <w:tcW w:type="dxa" w:w="7280"/>
            <w:tcBorders>
              <w:top w:val="single" w:color="BFCAD8" w:sz="4"/>
              <w:left w:val="single" w:color="BFCAD8" w:sz="4"/>
              <w:bottom w:val="single" w:color="BFCAD8" w:sz="4"/>
              <w:right w:val="single" w:color="BFCAD8" w:sz="4"/>
            </w:tcBorders>
            <w:shd w:fill="1E2761" w:color="auto" w:val="clear"/>
            <w:tcMar>
              <w:top w:type="dxa" w:w="70"/>
              <w:left w:type="dxa" w:w="110"/>
              <w:bottom w:type="dxa" w:w="70"/>
              <w:right w:type="dxa" w:w="110"/>
            </w:tcMar>
          </w:tcPr>
          <w:p>
            <w:pPr>
              <w:jc w:val="center"/>
            </w:pPr>
            <w:r>
              <w:rPr>
                <w:rFonts w:ascii="Calibri" w:cs="Calibri" w:eastAsia="Calibri" w:hAnsi="Calibri"/>
                <w:b/>
                <w:bCs/>
                <w:color w:val="FFFFFF"/>
                <w:sz w:val="19"/>
                <w:szCs w:val="19"/>
              </w:rPr>
              <w:t xml:space="preserve">First-Pass Observation</w:t>
            </w:r>
          </w:p>
        </w:tc>
      </w:tr>
      <w:tr>
        <w:trPr>
          <w:tblHeader w:val="false"/>
        </w:trPr>
        <w:tc>
          <w:tcPr>
            <w:tcW w:type="dxa" w:w="260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M.A. Geography</w:t>
            </w:r>
          </w:p>
        </w:tc>
        <w:tc>
          <w:tcPr>
            <w:tcW w:type="dxa" w:w="150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CBCS, 4 sem</w:t>
            </w:r>
          </w:p>
        </w:tc>
        <w:tc>
          <w:tcPr>
            <w:tcW w:type="dxa" w:w="230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Theory + Practical + Project</w:t>
            </w:r>
          </w:p>
        </w:tc>
        <w:tc>
          <w:tcPr>
            <w:tcW w:type="dxa" w:w="728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Strongest among arts streams; explicit practicals, electives and project work; credits stated.</w:t>
            </w:r>
          </w:p>
        </w:tc>
      </w:tr>
      <w:tr>
        <w:trPr>
          <w:tblHeader w:val="false"/>
        </w:trPr>
        <w:tc>
          <w:tcPr>
            <w:tcW w:type="dxa" w:w="2600"/>
            <w:tcBorders>
              <w:top w:val="single" w:color="BFCAD8" w:sz="4"/>
              <w:left w:val="single" w:color="BFCAD8" w:sz="4"/>
              <w:bottom w:val="single" w:color="BFCAD8" w:sz="4"/>
              <w:right w:val="single" w:color="BFCAD8" w:sz="4"/>
            </w:tcBorders>
            <w:shd w:fill="FFFFFF"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Ancient Indian History &amp; Culture (AIHC)</w:t>
            </w:r>
          </w:p>
        </w:tc>
        <w:tc>
          <w:tcPr>
            <w:tcW w:type="dxa" w:w="1500"/>
            <w:tcBorders>
              <w:top w:val="single" w:color="BFCAD8" w:sz="4"/>
              <w:left w:val="single" w:color="BFCAD8" w:sz="4"/>
              <w:bottom w:val="single" w:color="BFCAD8" w:sz="4"/>
              <w:right w:val="single" w:color="BFCAD8" w:sz="4"/>
            </w:tcBorders>
            <w:shd w:fill="FFFFFF"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CBCS, 4 sem</w:t>
            </w:r>
          </w:p>
        </w:tc>
        <w:tc>
          <w:tcPr>
            <w:tcW w:type="dxa" w:w="2300"/>
            <w:tcBorders>
              <w:top w:val="single" w:color="BFCAD8" w:sz="4"/>
              <w:left w:val="single" w:color="BFCAD8" w:sz="4"/>
              <w:bottom w:val="single" w:color="BFCAD8" w:sz="4"/>
              <w:right w:val="single" w:color="BFCAD8" w:sz="4"/>
            </w:tcBorders>
            <w:shd w:fill="FFFFFF"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Theory-heavy + few practicals</w:t>
            </w:r>
          </w:p>
        </w:tc>
        <w:tc>
          <w:tcPr>
            <w:tcW w:type="dxa" w:w="7280"/>
            <w:tcBorders>
              <w:top w:val="single" w:color="BFCAD8" w:sz="4"/>
              <w:left w:val="single" w:color="BFCAD8" w:sz="4"/>
              <w:bottom w:val="single" w:color="BFCAD8" w:sz="4"/>
              <w:right w:val="single" w:color="BFCAD8" w:sz="4"/>
            </w:tcBorders>
            <w:shd w:fill="FFFFFF"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Rich content; electives present; minimal outcome statements or skill/field components.</w:t>
            </w:r>
          </w:p>
        </w:tc>
      </w:tr>
      <w:tr>
        <w:trPr>
          <w:tblHeader w:val="false"/>
        </w:trPr>
        <w:tc>
          <w:tcPr>
            <w:tcW w:type="dxa" w:w="260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Commerce &amp; Management (M.Com.)</w:t>
            </w:r>
          </w:p>
        </w:tc>
        <w:tc>
          <w:tcPr>
            <w:tcW w:type="dxa" w:w="150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CBCS, 4 sem</w:t>
            </w:r>
          </w:p>
        </w:tc>
        <w:tc>
          <w:tcPr>
            <w:tcW w:type="dxa" w:w="230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Theory + reading lists</w:t>
            </w:r>
          </w:p>
        </w:tc>
        <w:tc>
          <w:tcPr>
            <w:tcW w:type="dxa" w:w="728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Updated content (e.g., GST 2017); credits and qualifying papers present; no Course Outcomes.</w:t>
            </w:r>
          </w:p>
        </w:tc>
      </w:tr>
      <w:tr>
        <w:trPr>
          <w:tblHeader w:val="false"/>
        </w:trPr>
        <w:tc>
          <w:tcPr>
            <w:tcW w:type="dxa" w:w="2600"/>
            <w:tcBorders>
              <w:top w:val="single" w:color="BFCAD8" w:sz="4"/>
              <w:left w:val="single" w:color="BFCAD8" w:sz="4"/>
              <w:bottom w:val="single" w:color="BFCAD8" w:sz="4"/>
              <w:right w:val="single" w:color="BFCAD8" w:sz="4"/>
            </w:tcBorders>
            <w:shd w:fill="FFFFFF"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Economics (M.A.)</w:t>
            </w:r>
          </w:p>
        </w:tc>
        <w:tc>
          <w:tcPr>
            <w:tcW w:type="dxa" w:w="1500"/>
            <w:tcBorders>
              <w:top w:val="single" w:color="BFCAD8" w:sz="4"/>
              <w:left w:val="single" w:color="BFCAD8" w:sz="4"/>
              <w:bottom w:val="single" w:color="BFCAD8" w:sz="4"/>
              <w:right w:val="single" w:color="BFCAD8" w:sz="4"/>
            </w:tcBorders>
            <w:shd w:fill="FFFFFF"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CBCS, 4 sem</w:t>
            </w:r>
          </w:p>
        </w:tc>
        <w:tc>
          <w:tcPr>
            <w:tcW w:type="dxa" w:w="2300"/>
            <w:tcBorders>
              <w:top w:val="single" w:color="BFCAD8" w:sz="4"/>
              <w:left w:val="single" w:color="BFCAD8" w:sz="4"/>
              <w:bottom w:val="single" w:color="BFCAD8" w:sz="4"/>
              <w:right w:val="single" w:color="BFCAD8" w:sz="4"/>
            </w:tcBorders>
            <w:shd w:fill="FFFFFF"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Theory + electives</w:t>
            </w:r>
          </w:p>
        </w:tc>
        <w:tc>
          <w:tcPr>
            <w:tcW w:type="dxa" w:w="7280"/>
            <w:tcBorders>
              <w:top w:val="single" w:color="BFCAD8" w:sz="4"/>
              <w:left w:val="single" w:color="BFCAD8" w:sz="4"/>
              <w:bottom w:val="single" w:color="BFCAD8" w:sz="4"/>
              <w:right w:val="single" w:color="BFCAD8" w:sz="4"/>
            </w:tcBorders>
            <w:shd w:fill="FFFFFF"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Clear credit grid (30/sem); strong core; lacks COs, practicals and field linkage.</w:t>
            </w:r>
          </w:p>
        </w:tc>
      </w:tr>
      <w:tr>
        <w:trPr>
          <w:tblHeader w:val="false"/>
        </w:trPr>
        <w:tc>
          <w:tcPr>
            <w:tcW w:type="dxa" w:w="260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Botany (M.Sc.)</w:t>
            </w:r>
          </w:p>
        </w:tc>
        <w:tc>
          <w:tcPr>
            <w:tcW w:type="dxa" w:w="150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CBCS, 4 sem</w:t>
            </w:r>
          </w:p>
        </w:tc>
        <w:tc>
          <w:tcPr>
            <w:tcW w:type="dxa" w:w="230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Theory + Practical + Skill</w:t>
            </w:r>
          </w:p>
        </w:tc>
        <w:tc>
          <w:tcPr>
            <w:tcW w:type="dxa" w:w="728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Science-typical: laboratory practicals, skill-enhancement and some outcome language.</w:t>
            </w:r>
          </w:p>
        </w:tc>
      </w:tr>
      <w:tr>
        <w:trPr>
          <w:tblHeader w:val="false"/>
        </w:trPr>
        <w:tc>
          <w:tcPr>
            <w:tcW w:type="dxa" w:w="2600"/>
            <w:tcBorders>
              <w:top w:val="single" w:color="BFCAD8" w:sz="4"/>
              <w:left w:val="single" w:color="BFCAD8" w:sz="4"/>
              <w:bottom w:val="single" w:color="BFCAD8" w:sz="4"/>
              <w:right w:val="single" w:color="BFCAD8" w:sz="4"/>
            </w:tcBorders>
            <w:shd w:fill="FFFFFF"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MBA (CBCS)</w:t>
            </w:r>
          </w:p>
        </w:tc>
        <w:tc>
          <w:tcPr>
            <w:tcW w:type="dxa" w:w="1500"/>
            <w:tcBorders>
              <w:top w:val="single" w:color="BFCAD8" w:sz="4"/>
              <w:left w:val="single" w:color="BFCAD8" w:sz="4"/>
              <w:bottom w:val="single" w:color="BFCAD8" w:sz="4"/>
              <w:right w:val="single" w:color="BFCAD8" w:sz="4"/>
            </w:tcBorders>
            <w:shd w:fill="FFFFFF"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CBCS, 4 sem</w:t>
            </w:r>
          </w:p>
        </w:tc>
        <w:tc>
          <w:tcPr>
            <w:tcW w:type="dxa" w:w="2300"/>
            <w:tcBorders>
              <w:top w:val="single" w:color="BFCAD8" w:sz="4"/>
              <w:left w:val="single" w:color="BFCAD8" w:sz="4"/>
              <w:bottom w:val="single" w:color="BFCAD8" w:sz="4"/>
              <w:right w:val="single" w:color="BFCAD8" w:sz="4"/>
            </w:tcBorders>
            <w:shd w:fill="FFFFFF"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Theory + Internship + Skill</w:t>
            </w:r>
          </w:p>
        </w:tc>
        <w:tc>
          <w:tcPr>
            <w:tcW w:type="dxa" w:w="7280"/>
            <w:tcBorders>
              <w:top w:val="single" w:color="BFCAD8" w:sz="4"/>
              <w:left w:val="single" w:color="BFCAD8" w:sz="4"/>
              <w:bottom w:val="single" w:color="BFCAD8" w:sz="4"/>
              <w:right w:val="single" w:color="BFCAD8" w:sz="4"/>
            </w:tcBorders>
            <w:shd w:fill="FFFFFF"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Most professionally aligned: internship, employability and skill courses embedded.</w:t>
            </w:r>
          </w:p>
        </w:tc>
      </w:tr>
      <w:tr>
        <w:trPr>
          <w:tblHeader w:val="false"/>
        </w:trPr>
        <w:tc>
          <w:tcPr>
            <w:tcW w:type="dxa" w:w="260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Hindi / Bengali / Bhojpuri</w:t>
            </w:r>
          </w:p>
        </w:tc>
        <w:tc>
          <w:tcPr>
            <w:tcW w:type="dxa" w:w="150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CBCS, 4 sem</w:t>
            </w:r>
          </w:p>
        </w:tc>
        <w:tc>
          <w:tcPr>
            <w:tcW w:type="dxa" w:w="230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Theory / literature</w:t>
            </w:r>
          </w:p>
        </w:tc>
        <w:tc>
          <w:tcPr>
            <w:tcW w:type="dxa" w:w="728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Content-rich language syllabi; weakest on outcomes, skills, digital and applied components.</w:t>
            </w:r>
          </w:p>
        </w:tc>
      </w:tr>
    </w:tbl>
    <w:p>
      <w:pPr>
        <w:spacing w:after="120" w:line="264"/>
        <w:jc w:val="both"/>
      </w:pPr>
      <w:r>
        <w:rPr>
          <w:rFonts w:ascii="Calibri" w:cs="Calibri" w:eastAsia="Calibri" w:hAnsi="Calibri"/>
          <w:b/>
          <w:bCs/>
          <w:color w:val="1E2761"/>
          <w:sz w:val="21"/>
          <w:szCs w:val="21"/>
        </w:rPr>
        <w:t xml:space="preserve">Method.  </w:t>
      </w:r>
      <w:r>
        <w:rPr>
          <w:rFonts w:ascii="Calibri" w:cs="Calibri" w:eastAsia="Calibri" w:hAnsi="Calibri"/>
          <w:color w:val="222222"/>
          <w:sz w:val="21"/>
          <w:szCs w:val="21"/>
        </w:rPr>
        <w:t xml:space="preserve">The PDFs are scanned image documents; their text was recovered through optical character recognition and read for structure (credit distribution, presence of course outcomes, electives, practicals, skill/field/internship components and reading lists). Findings are therefore based on the structural and curricular features that could be reliably identified across the documents.</w:t>
      </w:r>
    </w:p>
    <w:p>
      <w:pPr>
        <w:pStyle w:val="Heading1"/>
        <w:spacing w:after="160" w:before="320"/>
      </w:pPr>
      <w:r>
        <w:rPr>
          <w:rFonts w:ascii="Calibri" w:cs="Calibri" w:eastAsia="Calibri" w:hAnsi="Calibri"/>
          <w:b/>
          <w:bCs/>
          <w:color w:val="1E2761"/>
          <w:sz w:val="30"/>
          <w:szCs w:val="30"/>
        </w:rPr>
        <w:t xml:space="preserve">2.  Alignment with UGC, NEP 2020, NAAC and Bloom's Taxonomy</w:t>
      </w:r>
    </w:p>
    <w:p>
      <w:pPr>
        <w:pStyle w:val="Heading2"/>
        <w:spacing w:after="120" w:before="220"/>
      </w:pPr>
      <w:r>
        <w:rPr>
          <w:rFonts w:ascii="Calibri" w:cs="Calibri" w:eastAsia="Calibri" w:hAnsi="Calibri"/>
          <w:b/>
          <w:bCs/>
          <w:color w:val="B85042"/>
          <w:sz w:val="26"/>
          <w:szCs w:val="26"/>
        </w:rPr>
        <w:t xml:space="preserve">2.1  UGC Credit Framework &amp; Learning Outcomes-based Curriculum Framework (LOCF)</w:t>
      </w:r>
    </w:p>
    <w:p>
      <w:pPr>
        <w:spacing w:after="120" w:line="264"/>
        <w:jc w:val="both"/>
      </w:pPr>
      <w:r>
        <w:rPr>
          <w:rFonts w:ascii="Calibri" w:cs="Calibri" w:eastAsia="Calibri" w:hAnsi="Calibri"/>
          <w:color w:val="222222"/>
          <w:sz w:val="21"/>
          <w:szCs w:val="21"/>
        </w:rPr>
        <w:t xml:space="preserve">All nine syllabi adopt the CBCS architecture mandated by the UGC: a semesterised structure, credit-weighted courses, and a Core / Discipline-Specific Elective / Generic Elective / Skill-Enhancement classification. Economics, Geography, Botany and MBA state credits clearly (typically ~30 credits per semester). To this extent the syllabi satisfy the structural expectations of the UGC framework.</w:t>
      </w:r>
    </w:p>
    <w:p>
      <w:pPr>
        <w:spacing w:after="120" w:line="264"/>
        <w:jc w:val="both"/>
      </w:pPr>
      <w:r>
        <w:rPr>
          <w:rFonts w:ascii="Calibri" w:cs="Calibri" w:eastAsia="Calibri" w:hAnsi="Calibri"/>
          <w:color w:val="222222"/>
          <w:sz w:val="21"/>
          <w:szCs w:val="21"/>
        </w:rPr>
        <w:t xml:space="preserve">The LOCF, however, requires more than a credit grid. It expects every programme to publish Programme Outcomes (POs), Programme-Specific Outcomes (PSOs) and Course Outcomes (COs) written as measurable learning statements, together with graduate attributes. Across the documents these outcome statements are largely absent: most syllabi jump directly from a course title to a unit/module list and a reading list, without articulating what a learner should be able to do on completion. Botany and MBA are partial exceptions. This is the single largest compliance gap with current UGC expectations.</w:t>
      </w:r>
    </w:p>
    <w:p>
      <w:pPr>
        <w:pStyle w:val="Heading2"/>
        <w:spacing w:after="120" w:before="220"/>
      </w:pPr>
      <w:r>
        <w:rPr>
          <w:rFonts w:ascii="Calibri" w:cs="Calibri" w:eastAsia="Calibri" w:hAnsi="Calibri"/>
          <w:b/>
          <w:bCs/>
          <w:color w:val="B85042"/>
          <w:sz w:val="26"/>
          <w:szCs w:val="26"/>
        </w:rPr>
        <w:t xml:space="preserve">2.2  NEP 2020</w:t>
      </w:r>
    </w:p>
    <w:p>
      <w:pPr>
        <w:pStyle w:val="ListParagraph"/>
        <w:numPr>
          <w:ilvl w:val="0"/>
          <w:numId w:val="2"/>
        </w:numPr>
        <w:spacing w:after="60" w:line="252"/>
      </w:pPr>
      <w:r>
        <w:rPr>
          <w:rFonts w:ascii="Calibri" w:cs="Calibri" w:eastAsia="Calibri" w:hAnsi="Calibri"/>
          <w:color w:val="222222"/>
          <w:sz w:val="21"/>
          <w:szCs w:val="21"/>
        </w:rPr>
        <w:t xml:space="preserve">Multidisciplinarity &amp; flexibility: Generic Electives provide limited cross-disciplinary choice, but there is little evidence of the broad multidisciplinary mobility, multiple entry/exit, or Academic Bank of Credits orientation that NEP 2020 envisages.</w:t>
      </w:r>
    </w:p>
    <w:p>
      <w:pPr>
        <w:pStyle w:val="ListParagraph"/>
        <w:numPr>
          <w:ilvl w:val="0"/>
          <w:numId w:val="2"/>
        </w:numPr>
        <w:spacing w:after="60" w:line="252"/>
      </w:pPr>
      <w:r>
        <w:rPr>
          <w:rFonts w:ascii="Calibri" w:cs="Calibri" w:eastAsia="Calibri" w:hAnsi="Calibri"/>
          <w:color w:val="222222"/>
          <w:sz w:val="21"/>
          <w:szCs w:val="21"/>
        </w:rPr>
        <w:t xml:space="preserve">Skill, vocational &amp; experiential learning: MBA (internship), Botany (laboratory/skill courses) and Geography (practicals/project) align reasonably; the language and several arts syllabi remain almost entirely lecture-and-text based with no internship, fieldwork or community engagement.</w:t>
      </w:r>
    </w:p>
    <w:p>
      <w:pPr>
        <w:pStyle w:val="ListParagraph"/>
        <w:numPr>
          <w:ilvl w:val="0"/>
          <w:numId w:val="2"/>
        </w:numPr>
        <w:spacing w:after="60" w:line="252"/>
      </w:pPr>
      <w:r>
        <w:rPr>
          <w:rFonts w:ascii="Calibri" w:cs="Calibri" w:eastAsia="Calibri" w:hAnsi="Calibri"/>
          <w:color w:val="222222"/>
          <w:sz w:val="21"/>
          <w:szCs w:val="21"/>
        </w:rPr>
        <w:t xml:space="preserve">Indian Knowledge Systems &amp; rootedness: AIHC, Hindi, Bengali and Bhojpuri are inherently rich in Indian knowledge and regional culture — a genuine NEP strength — but this is not converted into applied or contemporary outcomes (digital humanities, translation industry, cultural tourism, archiving).</w:t>
      </w:r>
    </w:p>
    <w:p>
      <w:pPr>
        <w:pStyle w:val="ListParagraph"/>
        <w:numPr>
          <w:ilvl w:val="0"/>
          <w:numId w:val="2"/>
        </w:numPr>
        <w:spacing w:after="60" w:line="252"/>
      </w:pPr>
      <w:r>
        <w:rPr>
          <w:rFonts w:ascii="Calibri" w:cs="Calibri" w:eastAsia="Calibri" w:hAnsi="Calibri"/>
          <w:color w:val="222222"/>
          <w:sz w:val="21"/>
          <w:szCs w:val="21"/>
        </w:rPr>
        <w:t xml:space="preserve">Pedagogy: NEP's emphasis on inquiry, discussion, experiential and competency-based learning is not visible in stated teaching-learning methods; assessment remains predominantly end-semester and theory-weighted.</w:t>
      </w:r>
    </w:p>
    <w:p>
      <w:pPr>
        <w:pStyle w:val="Heading2"/>
        <w:spacing w:after="120" w:before="220"/>
      </w:pPr>
      <w:r>
        <w:rPr>
          <w:rFonts w:ascii="Calibri" w:cs="Calibri" w:eastAsia="Calibri" w:hAnsi="Calibri"/>
          <w:b/>
          <w:bCs/>
          <w:color w:val="B85042"/>
          <w:sz w:val="26"/>
          <w:szCs w:val="26"/>
        </w:rPr>
        <w:t xml:space="preserve">2.3  NAAC Accreditation Criteria</w:t>
      </w:r>
    </w:p>
    <w:p>
      <w:pPr>
        <w:spacing w:after="120" w:line="264"/>
        <w:jc w:val="both"/>
      </w:pPr>
      <w:r>
        <w:rPr>
          <w:rFonts w:ascii="Calibri" w:cs="Calibri" w:eastAsia="Calibri" w:hAnsi="Calibri"/>
          <w:color w:val="222222"/>
          <w:sz w:val="21"/>
          <w:szCs w:val="21"/>
        </w:rPr>
        <w:t xml:space="preserve">NAAC's revised, largely quantitative framework rewards demonstrable curricular features. The table below maps the syllabi against the most syllabus-sensitive NAAC indicators.</w:t>
      </w:r>
    </w:p>
    <w:tbl>
      <w:tblPr>
        <w:tblW w:type="dxa" w:w="13680"/>
        <w:tblBorders>
          <w:top w:val="single" w:color="auto" w:sz="4"/>
          <w:left w:val="single" w:color="auto" w:sz="4"/>
          <w:bottom w:val="single" w:color="auto" w:sz="4"/>
          <w:right w:val="single" w:color="auto" w:sz="4"/>
          <w:insideH w:val="single" w:color="auto" w:sz="4"/>
          <w:insideV w:val="single" w:color="auto" w:sz="4"/>
        </w:tblBorders>
      </w:tblPr>
      <w:tblGrid>
        <w:gridCol w:w="3400"/>
        <w:gridCol w:w="5140"/>
        <w:gridCol w:w="5140"/>
      </w:tblGrid>
      <w:tr>
        <w:trPr>
          <w:tblHeader/>
        </w:trPr>
        <w:tc>
          <w:tcPr>
            <w:tcW w:type="dxa" w:w="3400"/>
            <w:tcBorders>
              <w:top w:val="single" w:color="BFCAD8" w:sz="4"/>
              <w:left w:val="single" w:color="BFCAD8" w:sz="4"/>
              <w:bottom w:val="single" w:color="BFCAD8" w:sz="4"/>
              <w:right w:val="single" w:color="BFCAD8" w:sz="4"/>
            </w:tcBorders>
            <w:shd w:fill="1E2761" w:color="auto" w:val="clear"/>
            <w:tcMar>
              <w:top w:type="dxa" w:w="70"/>
              <w:left w:type="dxa" w:w="110"/>
              <w:bottom w:type="dxa" w:w="70"/>
              <w:right w:type="dxa" w:w="110"/>
            </w:tcMar>
          </w:tcPr>
          <w:p>
            <w:pPr>
              <w:jc w:val="center"/>
            </w:pPr>
            <w:r>
              <w:rPr>
                <w:rFonts w:ascii="Calibri" w:cs="Calibri" w:eastAsia="Calibri" w:hAnsi="Calibri"/>
                <w:b/>
                <w:bCs/>
                <w:color w:val="FFFFFF"/>
                <w:sz w:val="19"/>
                <w:szCs w:val="19"/>
              </w:rPr>
              <w:t xml:space="preserve">NAAC-sensitive Indicator</w:t>
            </w:r>
          </w:p>
        </w:tc>
        <w:tc>
          <w:tcPr>
            <w:tcW w:type="dxa" w:w="5140"/>
            <w:tcBorders>
              <w:top w:val="single" w:color="BFCAD8" w:sz="4"/>
              <w:left w:val="single" w:color="BFCAD8" w:sz="4"/>
              <w:bottom w:val="single" w:color="BFCAD8" w:sz="4"/>
              <w:right w:val="single" w:color="BFCAD8" w:sz="4"/>
            </w:tcBorders>
            <w:shd w:fill="1E2761" w:color="auto" w:val="clear"/>
            <w:tcMar>
              <w:top w:type="dxa" w:w="70"/>
              <w:left w:type="dxa" w:w="110"/>
              <w:bottom w:type="dxa" w:w="70"/>
              <w:right w:type="dxa" w:w="110"/>
            </w:tcMar>
          </w:tcPr>
          <w:p>
            <w:pPr>
              <w:jc w:val="center"/>
            </w:pPr>
            <w:r>
              <w:rPr>
                <w:rFonts w:ascii="Calibri" w:cs="Calibri" w:eastAsia="Calibri" w:hAnsi="Calibri"/>
                <w:b/>
                <w:bCs/>
                <w:color w:val="FFFFFF"/>
                <w:sz w:val="19"/>
                <w:szCs w:val="19"/>
              </w:rPr>
              <w:t xml:space="preserve">Current Position in the Syllabi</w:t>
            </w:r>
          </w:p>
        </w:tc>
        <w:tc>
          <w:tcPr>
            <w:tcW w:type="dxa" w:w="5140"/>
            <w:tcBorders>
              <w:top w:val="single" w:color="BFCAD8" w:sz="4"/>
              <w:left w:val="single" w:color="BFCAD8" w:sz="4"/>
              <w:bottom w:val="single" w:color="BFCAD8" w:sz="4"/>
              <w:right w:val="single" w:color="BFCAD8" w:sz="4"/>
            </w:tcBorders>
            <w:shd w:fill="1E2761" w:color="auto" w:val="clear"/>
            <w:tcMar>
              <w:top w:type="dxa" w:w="70"/>
              <w:left w:type="dxa" w:w="110"/>
              <w:bottom w:type="dxa" w:w="70"/>
              <w:right w:type="dxa" w:w="110"/>
            </w:tcMar>
          </w:tcPr>
          <w:p>
            <w:pPr>
              <w:jc w:val="center"/>
            </w:pPr>
            <w:r>
              <w:rPr>
                <w:rFonts w:ascii="Calibri" w:cs="Calibri" w:eastAsia="Calibri" w:hAnsi="Calibri"/>
                <w:b/>
                <w:bCs/>
                <w:color w:val="FFFFFF"/>
                <w:sz w:val="19"/>
                <w:szCs w:val="19"/>
              </w:rPr>
              <w:t xml:space="preserve">Implication for Accreditation</w:t>
            </w:r>
          </w:p>
        </w:tc>
      </w:tr>
      <w:tr>
        <w:trPr>
          <w:tblHeader w:val="false"/>
        </w:trPr>
        <w:tc>
          <w:tcPr>
            <w:tcW w:type="dxa" w:w="340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Curriculum revision &amp; relevance</w:t>
            </w:r>
          </w:p>
        </w:tc>
        <w:tc>
          <w:tcPr>
            <w:tcW w:type="dxa" w:w="514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Some revision evident (Commerce updated for GST 2017).</w:t>
            </w:r>
          </w:p>
        </w:tc>
        <w:tc>
          <w:tcPr>
            <w:tcW w:type="dxa" w:w="514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Positive — but revision cycles and stakeholder feedback are not documented.</w:t>
            </w:r>
          </w:p>
        </w:tc>
      </w:tr>
      <w:tr>
        <w:trPr>
          <w:tblHeader w:val="false"/>
        </w:trPr>
        <w:tc>
          <w:tcPr>
            <w:tcW w:type="dxa" w:w="3400"/>
            <w:tcBorders>
              <w:top w:val="single" w:color="BFCAD8" w:sz="4"/>
              <w:left w:val="single" w:color="BFCAD8" w:sz="4"/>
              <w:bottom w:val="single" w:color="BFCAD8" w:sz="4"/>
              <w:right w:val="single" w:color="BFCAD8" w:sz="4"/>
            </w:tcBorders>
            <w:shd w:fill="FFFFFF"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Outcome-Based Education (POs/COs)</w:t>
            </w:r>
          </w:p>
        </w:tc>
        <w:tc>
          <w:tcPr>
            <w:tcW w:type="dxa" w:w="5140"/>
            <w:tcBorders>
              <w:top w:val="single" w:color="BFCAD8" w:sz="4"/>
              <w:left w:val="single" w:color="BFCAD8" w:sz="4"/>
              <w:bottom w:val="single" w:color="BFCAD8" w:sz="4"/>
              <w:right w:val="single" w:color="BFCAD8" w:sz="4"/>
            </w:tcBorders>
            <w:shd w:fill="FFFFFF"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Largely missing across documents.</w:t>
            </w:r>
          </w:p>
        </w:tc>
        <w:tc>
          <w:tcPr>
            <w:tcW w:type="dxa" w:w="5140"/>
            <w:tcBorders>
              <w:top w:val="single" w:color="BFCAD8" w:sz="4"/>
              <w:left w:val="single" w:color="BFCAD8" w:sz="4"/>
              <w:bottom w:val="single" w:color="BFCAD8" w:sz="4"/>
              <w:right w:val="single" w:color="BFCAD8" w:sz="4"/>
            </w:tcBorders>
            <w:shd w:fill="FFFFFF"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Major scoring loss — OBE is a core NAAC expectation.</w:t>
            </w:r>
          </w:p>
        </w:tc>
      </w:tr>
      <w:tr>
        <w:trPr>
          <w:tblHeader w:val="false"/>
        </w:trPr>
        <w:tc>
          <w:tcPr>
            <w:tcW w:type="dxa" w:w="340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Skill / employability / value-added</w:t>
            </w:r>
          </w:p>
        </w:tc>
        <w:tc>
          <w:tcPr>
            <w:tcW w:type="dxa" w:w="514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Strong in MBA &amp; Botany; weak elsewhere.</w:t>
            </w:r>
          </w:p>
        </w:tc>
        <w:tc>
          <w:tcPr>
            <w:tcW w:type="dxa" w:w="514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Uneven; arts/language programmes drag the institutional score.</w:t>
            </w:r>
          </w:p>
        </w:tc>
      </w:tr>
      <w:tr>
        <w:trPr>
          <w:tblHeader w:val="false"/>
        </w:trPr>
        <w:tc>
          <w:tcPr>
            <w:tcW w:type="dxa" w:w="3400"/>
            <w:tcBorders>
              <w:top w:val="single" w:color="BFCAD8" w:sz="4"/>
              <w:left w:val="single" w:color="BFCAD8" w:sz="4"/>
              <w:bottom w:val="single" w:color="BFCAD8" w:sz="4"/>
              <w:right w:val="single" w:color="BFCAD8" w:sz="4"/>
            </w:tcBorders>
            <w:shd w:fill="FFFFFF"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Experiential learning (project/intern/field)</w:t>
            </w:r>
          </w:p>
        </w:tc>
        <w:tc>
          <w:tcPr>
            <w:tcW w:type="dxa" w:w="5140"/>
            <w:tcBorders>
              <w:top w:val="single" w:color="BFCAD8" w:sz="4"/>
              <w:left w:val="single" w:color="BFCAD8" w:sz="4"/>
              <w:bottom w:val="single" w:color="BFCAD8" w:sz="4"/>
              <w:right w:val="single" w:color="BFCAD8" w:sz="4"/>
            </w:tcBorders>
            <w:shd w:fill="FFFFFF"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Geography, Botany, MBA only.</w:t>
            </w:r>
          </w:p>
        </w:tc>
        <w:tc>
          <w:tcPr>
            <w:tcW w:type="dxa" w:w="5140"/>
            <w:tcBorders>
              <w:top w:val="single" w:color="BFCAD8" w:sz="4"/>
              <w:left w:val="single" w:color="BFCAD8" w:sz="4"/>
              <w:bottom w:val="single" w:color="BFCAD8" w:sz="4"/>
              <w:right w:val="single" w:color="BFCAD8" w:sz="4"/>
            </w:tcBorders>
            <w:shd w:fill="FFFFFF"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Limited breadth; most disciplines lack field/community engagement.</w:t>
            </w:r>
          </w:p>
        </w:tc>
      </w:tr>
      <w:tr>
        <w:trPr>
          <w:tblHeader w:val="false"/>
        </w:trPr>
        <w:tc>
          <w:tcPr>
            <w:tcW w:type="dxa" w:w="340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Use of ICT / digital learning</w:t>
            </w:r>
          </w:p>
        </w:tc>
        <w:tc>
          <w:tcPr>
            <w:tcW w:type="dxa" w:w="514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Not specified in curricula.</w:t>
            </w:r>
          </w:p>
        </w:tc>
        <w:tc>
          <w:tcPr>
            <w:tcW w:type="dxa" w:w="514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Missed opportunity against NAAC's ICT indicators.</w:t>
            </w:r>
          </w:p>
        </w:tc>
      </w:tr>
    </w:tbl>
    <w:p>
      <w:pPr>
        <w:pStyle w:val="Heading2"/>
        <w:spacing w:after="120" w:before="220"/>
      </w:pPr>
      <w:r>
        <w:rPr>
          <w:rFonts w:ascii="Calibri" w:cs="Calibri" w:eastAsia="Calibri" w:hAnsi="Calibri"/>
          <w:b/>
          <w:bCs/>
          <w:color w:val="B85042"/>
          <w:sz w:val="26"/>
          <w:szCs w:val="26"/>
        </w:rPr>
        <w:t xml:space="preserve">2.4  Bloom's Taxonomy — Cognitive Coverage</w:t>
      </w:r>
    </w:p>
    <w:p>
      <w:pPr>
        <w:spacing w:after="120" w:line="264"/>
        <w:jc w:val="both"/>
      </w:pPr>
      <w:r>
        <w:rPr>
          <w:rFonts w:ascii="Calibri" w:cs="Calibri" w:eastAsia="Calibri" w:hAnsi="Calibri"/>
          <w:color w:val="222222"/>
          <w:sz w:val="21"/>
          <w:szCs w:val="21"/>
        </w:rPr>
        <w:t xml:space="preserve">Course content is intellectually substantial, but the unit descriptions are framed as topics rather than as graded cognitive objectives. Mapped onto the revised Bloom's hierarchy, the syllabi cluster heavily at the lower-to-middle levels:</w:t>
      </w:r>
    </w:p>
    <w:tbl>
      <w:tblPr>
        <w:tblW w:type="dxa" w:w="13680"/>
        <w:tblBorders>
          <w:top w:val="single" w:color="auto" w:sz="4"/>
          <w:left w:val="single" w:color="auto" w:sz="4"/>
          <w:bottom w:val="single" w:color="auto" w:sz="4"/>
          <w:right w:val="single" w:color="auto" w:sz="4"/>
          <w:insideH w:val="single" w:color="auto" w:sz="4"/>
          <w:insideV w:val="single" w:color="auto" w:sz="4"/>
        </w:tblBorders>
      </w:tblPr>
      <w:tblGrid>
        <w:gridCol w:w="2600"/>
        <w:gridCol w:w="4000"/>
        <w:gridCol w:w="7080"/>
      </w:tblGrid>
      <w:tr>
        <w:trPr>
          <w:tblHeader/>
        </w:trPr>
        <w:tc>
          <w:tcPr>
            <w:tcW w:type="dxa" w:w="2600"/>
            <w:tcBorders>
              <w:top w:val="single" w:color="BFCAD8" w:sz="4"/>
              <w:left w:val="single" w:color="BFCAD8" w:sz="4"/>
              <w:bottom w:val="single" w:color="BFCAD8" w:sz="4"/>
              <w:right w:val="single" w:color="BFCAD8" w:sz="4"/>
            </w:tcBorders>
            <w:shd w:fill="1E2761" w:color="auto" w:val="clear"/>
            <w:tcMar>
              <w:top w:type="dxa" w:w="70"/>
              <w:left w:type="dxa" w:w="110"/>
              <w:bottom w:type="dxa" w:w="70"/>
              <w:right w:type="dxa" w:w="110"/>
            </w:tcMar>
          </w:tcPr>
          <w:p>
            <w:pPr>
              <w:jc w:val="center"/>
            </w:pPr>
            <w:r>
              <w:rPr>
                <w:rFonts w:ascii="Calibri" w:cs="Calibri" w:eastAsia="Calibri" w:hAnsi="Calibri"/>
                <w:b/>
                <w:bCs/>
                <w:color w:val="FFFFFF"/>
                <w:sz w:val="19"/>
                <w:szCs w:val="19"/>
              </w:rPr>
              <w:t xml:space="preserve">Bloom Level</w:t>
            </w:r>
          </w:p>
        </w:tc>
        <w:tc>
          <w:tcPr>
            <w:tcW w:type="dxa" w:w="4000"/>
            <w:tcBorders>
              <w:top w:val="single" w:color="BFCAD8" w:sz="4"/>
              <w:left w:val="single" w:color="BFCAD8" w:sz="4"/>
              <w:bottom w:val="single" w:color="BFCAD8" w:sz="4"/>
              <w:right w:val="single" w:color="BFCAD8" w:sz="4"/>
            </w:tcBorders>
            <w:shd w:fill="1E2761" w:color="auto" w:val="clear"/>
            <w:tcMar>
              <w:top w:type="dxa" w:w="70"/>
              <w:left w:type="dxa" w:w="110"/>
              <w:bottom w:type="dxa" w:w="70"/>
              <w:right w:type="dxa" w:w="110"/>
            </w:tcMar>
          </w:tcPr>
          <w:p>
            <w:pPr>
              <w:jc w:val="center"/>
            </w:pPr>
            <w:r>
              <w:rPr>
                <w:rFonts w:ascii="Calibri" w:cs="Calibri" w:eastAsia="Calibri" w:hAnsi="Calibri"/>
                <w:b/>
                <w:bCs/>
                <w:color w:val="FFFFFF"/>
                <w:sz w:val="19"/>
                <w:szCs w:val="19"/>
              </w:rPr>
              <w:t xml:space="preserve">Coverage in Syllabi</w:t>
            </w:r>
          </w:p>
        </w:tc>
        <w:tc>
          <w:tcPr>
            <w:tcW w:type="dxa" w:w="7080"/>
            <w:tcBorders>
              <w:top w:val="single" w:color="BFCAD8" w:sz="4"/>
              <w:left w:val="single" w:color="BFCAD8" w:sz="4"/>
              <w:bottom w:val="single" w:color="BFCAD8" w:sz="4"/>
              <w:right w:val="single" w:color="BFCAD8" w:sz="4"/>
            </w:tcBorders>
            <w:shd w:fill="1E2761" w:color="auto" w:val="clear"/>
            <w:tcMar>
              <w:top w:type="dxa" w:w="70"/>
              <w:left w:type="dxa" w:w="110"/>
              <w:bottom w:type="dxa" w:w="70"/>
              <w:right w:type="dxa" w:w="110"/>
            </w:tcMar>
          </w:tcPr>
          <w:p>
            <w:pPr>
              <w:jc w:val="center"/>
            </w:pPr>
            <w:r>
              <w:rPr>
                <w:rFonts w:ascii="Calibri" w:cs="Calibri" w:eastAsia="Calibri" w:hAnsi="Calibri"/>
                <w:b/>
                <w:bCs/>
                <w:color w:val="FFFFFF"/>
                <w:sz w:val="19"/>
                <w:szCs w:val="19"/>
              </w:rPr>
              <w:t xml:space="preserve">Comment</w:t>
            </w:r>
          </w:p>
        </w:tc>
      </w:tr>
      <w:tr>
        <w:trPr>
          <w:tblHeader w:val="false"/>
        </w:trPr>
        <w:tc>
          <w:tcPr>
            <w:tcW w:type="dxa" w:w="260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Remember / Understand</w:t>
            </w:r>
          </w:p>
        </w:tc>
        <w:tc>
          <w:tcPr>
            <w:tcW w:type="dxa" w:w="400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High — dominant</w:t>
            </w:r>
          </w:p>
        </w:tc>
        <w:tc>
          <w:tcPr>
            <w:tcW w:type="dxa" w:w="708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Content lists, definitions, theories and reading-based recall are emphasised throughout.</w:t>
            </w:r>
          </w:p>
        </w:tc>
      </w:tr>
      <w:tr>
        <w:trPr>
          <w:tblHeader w:val="false"/>
        </w:trPr>
        <w:tc>
          <w:tcPr>
            <w:tcW w:type="dxa" w:w="2600"/>
            <w:tcBorders>
              <w:top w:val="single" w:color="BFCAD8" w:sz="4"/>
              <w:left w:val="single" w:color="BFCAD8" w:sz="4"/>
              <w:bottom w:val="single" w:color="BFCAD8" w:sz="4"/>
              <w:right w:val="single" w:color="BFCAD8" w:sz="4"/>
            </w:tcBorders>
            <w:shd w:fill="FFFFFF"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Apply</w:t>
            </w:r>
          </w:p>
        </w:tc>
        <w:tc>
          <w:tcPr>
            <w:tcW w:type="dxa" w:w="4000"/>
            <w:tcBorders>
              <w:top w:val="single" w:color="BFCAD8" w:sz="4"/>
              <w:left w:val="single" w:color="BFCAD8" w:sz="4"/>
              <w:bottom w:val="single" w:color="BFCAD8" w:sz="4"/>
              <w:right w:val="single" w:color="BFCAD8" w:sz="4"/>
            </w:tcBorders>
            <w:shd w:fill="FFFFFF"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Moderate</w:t>
            </w:r>
          </w:p>
        </w:tc>
        <w:tc>
          <w:tcPr>
            <w:tcW w:type="dxa" w:w="7080"/>
            <w:tcBorders>
              <w:top w:val="single" w:color="BFCAD8" w:sz="4"/>
              <w:left w:val="single" w:color="BFCAD8" w:sz="4"/>
              <w:bottom w:val="single" w:color="BFCAD8" w:sz="4"/>
              <w:right w:val="single" w:color="BFCAD8" w:sz="4"/>
            </w:tcBorders>
            <w:shd w:fill="FFFFFF"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Present in Botany (lab), MBA (cases/internship), Geography (practical, statistics); weak in languages.</w:t>
            </w:r>
          </w:p>
        </w:tc>
      </w:tr>
      <w:tr>
        <w:trPr>
          <w:tblHeader w:val="false"/>
        </w:trPr>
        <w:tc>
          <w:tcPr>
            <w:tcW w:type="dxa" w:w="260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Analyse</w:t>
            </w:r>
          </w:p>
        </w:tc>
        <w:tc>
          <w:tcPr>
            <w:tcW w:type="dxa" w:w="400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Low–moderate</w:t>
            </w:r>
          </w:p>
        </w:tc>
        <w:tc>
          <w:tcPr>
            <w:tcW w:type="dxa" w:w="708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Implied by advanced theory (Economics, AIHC) but not stated as objectives or assessed explicitly.</w:t>
            </w:r>
          </w:p>
        </w:tc>
      </w:tr>
      <w:tr>
        <w:trPr>
          <w:tblHeader w:val="false"/>
        </w:trPr>
        <w:tc>
          <w:tcPr>
            <w:tcW w:type="dxa" w:w="2600"/>
            <w:tcBorders>
              <w:top w:val="single" w:color="BFCAD8" w:sz="4"/>
              <w:left w:val="single" w:color="BFCAD8" w:sz="4"/>
              <w:bottom w:val="single" w:color="BFCAD8" w:sz="4"/>
              <w:right w:val="single" w:color="BFCAD8" w:sz="4"/>
            </w:tcBorders>
            <w:shd w:fill="FFFFFF"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Evaluate / Create</w:t>
            </w:r>
          </w:p>
        </w:tc>
        <w:tc>
          <w:tcPr>
            <w:tcW w:type="dxa" w:w="4000"/>
            <w:tcBorders>
              <w:top w:val="single" w:color="BFCAD8" w:sz="4"/>
              <w:left w:val="single" w:color="BFCAD8" w:sz="4"/>
              <w:bottom w:val="single" w:color="BFCAD8" w:sz="4"/>
              <w:right w:val="single" w:color="BFCAD8" w:sz="4"/>
            </w:tcBorders>
            <w:shd w:fill="FFFFFF"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Low</w:t>
            </w:r>
          </w:p>
        </w:tc>
        <w:tc>
          <w:tcPr>
            <w:tcW w:type="dxa" w:w="7080"/>
            <w:tcBorders>
              <w:top w:val="single" w:color="BFCAD8" w:sz="4"/>
              <w:left w:val="single" w:color="BFCAD8" w:sz="4"/>
              <w:bottom w:val="single" w:color="BFCAD8" w:sz="4"/>
              <w:right w:val="single" w:color="BFCAD8" w:sz="4"/>
            </w:tcBorders>
            <w:shd w:fill="FFFFFF"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Few research, dissertation, design or critique components are formally embedded across programmes.</w:t>
            </w:r>
          </w:p>
        </w:tc>
      </w:tr>
    </w:tbl>
    <w:p>
      <w:pPr>
        <w:spacing w:after="120" w:line="264"/>
        <w:jc w:val="both"/>
      </w:pPr>
      <w:r>
        <w:rPr>
          <w:rFonts w:ascii="Calibri" w:cs="Calibri" w:eastAsia="Calibri" w:hAnsi="Calibri"/>
          <w:color w:val="222222"/>
          <w:sz w:val="21"/>
          <w:szCs w:val="21"/>
        </w:rPr>
        <w:t xml:space="preserve">Because objectives are not written with action verbs (define, apply, analyse, design, evaluate), Bloom-level intent cannot be assessed or audited — examinations therefore tend to default to recall and explanation.</w:t>
      </w:r>
    </w:p>
    <w:p>
      <w:pPr>
        <w:pStyle w:val="Heading1"/>
        <w:spacing w:after="160" w:before="320"/>
      </w:pPr>
      <w:r>
        <w:rPr>
          <w:rFonts w:ascii="Calibri" w:cs="Calibri" w:eastAsia="Calibri" w:hAnsi="Calibri"/>
          <w:b/>
          <w:bCs/>
          <w:color w:val="1E2761"/>
          <w:sz w:val="30"/>
          <w:szCs w:val="30"/>
        </w:rPr>
        <w:t xml:space="preserve">3.  Digital Outcome Tracking and Teaching–Learning Methods</w:t>
      </w:r>
    </w:p>
    <w:p>
      <w:pPr>
        <w:pStyle w:val="Heading2"/>
        <w:spacing w:after="120" w:before="220"/>
      </w:pPr>
      <w:r>
        <w:rPr>
          <w:rFonts w:ascii="Calibri" w:cs="Calibri" w:eastAsia="Calibri" w:hAnsi="Calibri"/>
          <w:b/>
          <w:bCs/>
          <w:color w:val="B85042"/>
          <w:sz w:val="26"/>
          <w:szCs w:val="26"/>
        </w:rPr>
        <w:t xml:space="preserve">3.1  Possibility of Tracking Education Outcomes Digitally</w:t>
      </w:r>
    </w:p>
    <w:p>
      <w:pPr>
        <w:spacing w:after="120" w:line="264"/>
        <w:jc w:val="both"/>
      </w:pPr>
      <w:r>
        <w:rPr>
          <w:rFonts w:ascii="Calibri" w:cs="Calibri" w:eastAsia="Calibri" w:hAnsi="Calibri"/>
          <w:color w:val="222222"/>
          <w:sz w:val="21"/>
          <w:szCs w:val="21"/>
        </w:rPr>
        <w:t xml:space="preserve">Digital outcome tracking (attainment dashboards, CO-PO attainment, learner analytics, Academic Bank of Credits, ABC/DigiLocker integration) requires three preconditions that the syllabi currently do not supply: (i) measurable Course Outcomes for every course; (ii) a mapping matrix linking each CO to Programme Outcomes and to specific assessment items; and (iii) a direct-and-indirect assessment plan. Until COs and CO-PO matrices are added, no meaningful attainment analytics can be computed. The CBCS credit structure already in place is, however, a sound foundation on which an LMS-based CO-attainment and ABC-ready system can be layered with modest effort.</w:t>
      </w:r>
    </w:p>
    <w:p>
      <w:pPr>
        <w:pStyle w:val="Heading2"/>
        <w:spacing w:after="120" w:before="220"/>
      </w:pPr>
      <w:r>
        <w:rPr>
          <w:rFonts w:ascii="Calibri" w:cs="Calibri" w:eastAsia="Calibri" w:hAnsi="Calibri"/>
          <w:b/>
          <w:bCs/>
          <w:color w:val="B85042"/>
          <w:sz w:val="26"/>
          <w:szCs w:val="26"/>
        </w:rPr>
        <w:t xml:space="preserve">3.2  Class Teaching, Tutorials, Mentoring and Self-Study</w:t>
      </w:r>
    </w:p>
    <w:p>
      <w:pPr>
        <w:pStyle w:val="ListParagraph"/>
        <w:numPr>
          <w:ilvl w:val="0"/>
          <w:numId w:val="2"/>
        </w:numPr>
        <w:spacing w:after="60" w:line="252"/>
      </w:pPr>
      <w:r>
        <w:rPr>
          <w:rFonts w:ascii="Calibri" w:cs="Calibri" w:eastAsia="Calibri" w:hAnsi="Calibri"/>
          <w:color w:val="222222"/>
          <w:sz w:val="21"/>
          <w:szCs w:val="21"/>
        </w:rPr>
        <w:t xml:space="preserve">Class teaching: Syllabi imply a lecture model; no credit-hour split between lecture, tutorial and practical is stated for most arts/language papers (Geography and Botany are better, with explicit practical credits).</w:t>
      </w:r>
    </w:p>
    <w:p>
      <w:pPr>
        <w:pStyle w:val="ListParagraph"/>
        <w:numPr>
          <w:ilvl w:val="0"/>
          <w:numId w:val="2"/>
        </w:numPr>
        <w:spacing w:after="60" w:line="252"/>
      </w:pPr>
      <w:r>
        <w:rPr>
          <w:rFonts w:ascii="Calibri" w:cs="Calibri" w:eastAsia="Calibri" w:hAnsi="Calibri"/>
          <w:color w:val="222222"/>
          <w:sz w:val="21"/>
          <w:szCs w:val="21"/>
        </w:rPr>
        <w:t xml:space="preserve">Tutorials: Not formally allocated in most syllabi; introducing tutorial hours would deepen analysis-level engagement and support weaker learners.</w:t>
      </w:r>
    </w:p>
    <w:p>
      <w:pPr>
        <w:pStyle w:val="ListParagraph"/>
        <w:numPr>
          <w:ilvl w:val="0"/>
          <w:numId w:val="2"/>
        </w:numPr>
        <w:spacing w:after="60" w:line="252"/>
      </w:pPr>
      <w:r>
        <w:rPr>
          <w:rFonts w:ascii="Calibri" w:cs="Calibri" w:eastAsia="Calibri" w:hAnsi="Calibri"/>
          <w:color w:val="222222"/>
          <w:sz w:val="21"/>
          <w:szCs w:val="21"/>
        </w:rPr>
        <w:t xml:space="preserve">Mentoring: No mentor-mentee or academic advising structure is referenced — a NEP/NAAC expectation that is easy to add and improves retention.</w:t>
      </w:r>
    </w:p>
    <w:p>
      <w:pPr>
        <w:pStyle w:val="ListParagraph"/>
        <w:numPr>
          <w:ilvl w:val="0"/>
          <w:numId w:val="2"/>
        </w:numPr>
        <w:spacing w:after="60" w:line="252"/>
      </w:pPr>
      <w:r>
        <w:rPr>
          <w:rFonts w:ascii="Calibri" w:cs="Calibri" w:eastAsia="Calibri" w:hAnsi="Calibri"/>
          <w:color w:val="222222"/>
          <w:sz w:val="21"/>
          <w:szCs w:val="21"/>
        </w:rPr>
        <w:t xml:space="preserve">Self-study: Detailed reading lists support self-study (a clear strength, especially in Economics, AIHC and Commerce), but there are no graded assignments, seminars, term papers or open educational resources that convert reading into assessable independent learning.</w:t>
      </w:r>
    </w:p>
    <w:p>
      <w:pPr>
        <w:pStyle w:val="Heading1"/>
        <w:spacing w:after="160" w:before="320"/>
      </w:pPr>
      <w:r>
        <w:rPr>
          <w:rFonts w:ascii="Calibri" w:cs="Calibri" w:eastAsia="Calibri" w:hAnsi="Calibri"/>
          <w:b/>
          <w:bCs/>
          <w:color w:val="1E2761"/>
          <w:sz w:val="30"/>
          <w:szCs w:val="30"/>
        </w:rPr>
        <w:t xml:space="preserve">4.  Strengths, Weaknesses and Shortcomings</w:t>
      </w:r>
    </w:p>
    <w:p>
      <w:pPr>
        <w:pStyle w:val="Heading2"/>
        <w:spacing w:after="120" w:before="220"/>
      </w:pPr>
      <w:r>
        <w:rPr>
          <w:rFonts w:ascii="Calibri" w:cs="Calibri" w:eastAsia="Calibri" w:hAnsi="Calibri"/>
          <w:b/>
          <w:bCs/>
          <w:color w:val="B85042"/>
          <w:sz w:val="26"/>
          <w:szCs w:val="26"/>
        </w:rPr>
        <w:t xml:space="preserve">4.1  Strengths</w:t>
      </w:r>
    </w:p>
    <w:p>
      <w:pPr>
        <w:pStyle w:val="ListParagraph"/>
        <w:numPr>
          <w:ilvl w:val="0"/>
          <w:numId w:val="2"/>
        </w:numPr>
        <w:spacing w:after="60" w:line="252"/>
      </w:pPr>
      <w:r>
        <w:rPr>
          <w:rFonts w:ascii="Calibri" w:cs="Calibri" w:eastAsia="Calibri" w:hAnsi="Calibri"/>
          <w:color w:val="222222"/>
          <w:sz w:val="21"/>
          <w:szCs w:val="21"/>
        </w:rPr>
        <w:t xml:space="preserve">Uniform CBCS, semesterised, credit-based architecture across all nine programmes — UGC-compliant in form.</w:t>
      </w:r>
    </w:p>
    <w:p>
      <w:pPr>
        <w:pStyle w:val="ListParagraph"/>
        <w:numPr>
          <w:ilvl w:val="0"/>
          <w:numId w:val="2"/>
        </w:numPr>
        <w:spacing w:after="60" w:line="252"/>
      </w:pPr>
      <w:r>
        <w:rPr>
          <w:rFonts w:ascii="Calibri" w:cs="Calibri" w:eastAsia="Calibri" w:hAnsi="Calibri"/>
          <w:color w:val="222222"/>
          <w:sz w:val="21"/>
          <w:szCs w:val="21"/>
        </w:rPr>
        <w:t xml:space="preserve">Academically rich, current content; evidence of revision (e.g., Commerce incorporating GST Act 2017).</w:t>
      </w:r>
    </w:p>
    <w:p>
      <w:pPr>
        <w:pStyle w:val="ListParagraph"/>
        <w:numPr>
          <w:ilvl w:val="0"/>
          <w:numId w:val="2"/>
        </w:numPr>
        <w:spacing w:after="60" w:line="252"/>
      </w:pPr>
      <w:r>
        <w:rPr>
          <w:rFonts w:ascii="Calibri" w:cs="Calibri" w:eastAsia="Calibri" w:hAnsi="Calibri"/>
          <w:color w:val="222222"/>
          <w:sz w:val="21"/>
          <w:szCs w:val="21"/>
        </w:rPr>
        <w:t xml:space="preserve">Professional and laboratory strength in MBA (internship, skill, employability) and Botany (practicals, skill-enhancement).</w:t>
      </w:r>
    </w:p>
    <w:p>
      <w:pPr>
        <w:pStyle w:val="ListParagraph"/>
        <w:numPr>
          <w:ilvl w:val="0"/>
          <w:numId w:val="2"/>
        </w:numPr>
        <w:spacing w:after="60" w:line="252"/>
      </w:pPr>
      <w:r>
        <w:rPr>
          <w:rFonts w:ascii="Calibri" w:cs="Calibri" w:eastAsia="Calibri" w:hAnsi="Calibri"/>
          <w:color w:val="222222"/>
          <w:sz w:val="21"/>
          <w:szCs w:val="21"/>
        </w:rPr>
        <w:t xml:space="preserve">Applied components in Geography (practicals, statistics, project work) and a wide elective basket in several programmes.</w:t>
      </w:r>
    </w:p>
    <w:p>
      <w:pPr>
        <w:pStyle w:val="ListParagraph"/>
        <w:numPr>
          <w:ilvl w:val="0"/>
          <w:numId w:val="2"/>
        </w:numPr>
        <w:spacing w:after="60" w:line="252"/>
      </w:pPr>
      <w:r>
        <w:rPr>
          <w:rFonts w:ascii="Calibri" w:cs="Calibri" w:eastAsia="Calibri" w:hAnsi="Calibri"/>
          <w:color w:val="222222"/>
          <w:sz w:val="21"/>
          <w:szCs w:val="21"/>
        </w:rPr>
        <w:t xml:space="preserve">Strong Indian Knowledge Systems and regional-culture base in AIHC, Hindi, Bengali and Bhojpuri — a natural NEP advantage.</w:t>
      </w:r>
    </w:p>
    <w:p>
      <w:pPr>
        <w:pStyle w:val="ListParagraph"/>
        <w:numPr>
          <w:ilvl w:val="0"/>
          <w:numId w:val="2"/>
        </w:numPr>
        <w:spacing w:after="60" w:line="252"/>
      </w:pPr>
      <w:r>
        <w:rPr>
          <w:rFonts w:ascii="Calibri" w:cs="Calibri" w:eastAsia="Calibri" w:hAnsi="Calibri"/>
          <w:color w:val="222222"/>
          <w:sz w:val="21"/>
          <w:szCs w:val="21"/>
        </w:rPr>
        <w:t xml:space="preserve">Comprehensive reading lists that enable structured self-study.</w:t>
      </w:r>
    </w:p>
    <w:p>
      <w:pPr>
        <w:pStyle w:val="Heading2"/>
        <w:spacing w:after="120" w:before="220"/>
      </w:pPr>
      <w:r>
        <w:rPr>
          <w:rFonts w:ascii="Calibri" w:cs="Calibri" w:eastAsia="Calibri" w:hAnsi="Calibri"/>
          <w:b/>
          <w:bCs/>
          <w:color w:val="B85042"/>
          <w:sz w:val="26"/>
          <w:szCs w:val="26"/>
        </w:rPr>
        <w:t xml:space="preserve">4.2  Weaknesses</w:t>
      </w:r>
    </w:p>
    <w:p>
      <w:pPr>
        <w:pStyle w:val="ListParagraph"/>
        <w:numPr>
          <w:ilvl w:val="0"/>
          <w:numId w:val="2"/>
        </w:numPr>
        <w:spacing w:after="60" w:line="252"/>
      </w:pPr>
      <w:r>
        <w:rPr>
          <w:rFonts w:ascii="Calibri" w:cs="Calibri" w:eastAsia="Calibri" w:hAnsi="Calibri"/>
          <w:color w:val="222222"/>
          <w:sz w:val="21"/>
          <w:szCs w:val="21"/>
        </w:rPr>
        <w:t xml:space="preserve">Absence of Programme Outcomes, PSOs and measurable Course Outcomes in most syllabi — non-compliance with LOCF/OBE.</w:t>
      </w:r>
    </w:p>
    <w:p>
      <w:pPr>
        <w:pStyle w:val="ListParagraph"/>
        <w:numPr>
          <w:ilvl w:val="0"/>
          <w:numId w:val="2"/>
        </w:numPr>
        <w:spacing w:after="60" w:line="252"/>
      </w:pPr>
      <w:r>
        <w:rPr>
          <w:rFonts w:ascii="Calibri" w:cs="Calibri" w:eastAsia="Calibri" w:hAnsi="Calibri"/>
          <w:color w:val="222222"/>
          <w:sz w:val="21"/>
          <w:szCs w:val="21"/>
        </w:rPr>
        <w:t xml:space="preserve">No CO-PO mapping, hence no basis for outcome attainment or accreditation evidence.</w:t>
      </w:r>
    </w:p>
    <w:p>
      <w:pPr>
        <w:pStyle w:val="ListParagraph"/>
        <w:numPr>
          <w:ilvl w:val="0"/>
          <w:numId w:val="2"/>
        </w:numPr>
        <w:spacing w:after="60" w:line="252"/>
      </w:pPr>
      <w:r>
        <w:rPr>
          <w:rFonts w:ascii="Calibri" w:cs="Calibri" w:eastAsia="Calibri" w:hAnsi="Calibri"/>
          <w:color w:val="222222"/>
          <w:sz w:val="21"/>
          <w:szCs w:val="21"/>
        </w:rPr>
        <w:t xml:space="preserve">Cognitive skew toward Remember/Understand; weak Analyse/Evaluate/Create components.</w:t>
      </w:r>
    </w:p>
    <w:p>
      <w:pPr>
        <w:pStyle w:val="ListParagraph"/>
        <w:numPr>
          <w:ilvl w:val="0"/>
          <w:numId w:val="2"/>
        </w:numPr>
        <w:spacing w:after="60" w:line="252"/>
      </w:pPr>
      <w:r>
        <w:rPr>
          <w:rFonts w:ascii="Calibri" w:cs="Calibri" w:eastAsia="Calibri" w:hAnsi="Calibri"/>
          <w:color w:val="222222"/>
          <w:sz w:val="21"/>
          <w:szCs w:val="21"/>
        </w:rPr>
        <w:t xml:space="preserve">Pedagogy and assessment not specified; reliance on end-semester theory examinations.</w:t>
      </w:r>
    </w:p>
    <w:p>
      <w:pPr>
        <w:pStyle w:val="ListParagraph"/>
        <w:numPr>
          <w:ilvl w:val="0"/>
          <w:numId w:val="2"/>
        </w:numPr>
        <w:spacing w:after="60" w:line="252"/>
      </w:pPr>
      <w:r>
        <w:rPr>
          <w:rFonts w:ascii="Calibri" w:cs="Calibri" w:eastAsia="Calibri" w:hAnsi="Calibri"/>
          <w:color w:val="222222"/>
          <w:sz w:val="21"/>
          <w:szCs w:val="21"/>
        </w:rPr>
        <w:t xml:space="preserve">No stated ICT / blended / digital-learning component, limiting digital trackability.</w:t>
      </w:r>
    </w:p>
    <w:p>
      <w:pPr>
        <w:pStyle w:val="ListParagraph"/>
        <w:numPr>
          <w:ilvl w:val="0"/>
          <w:numId w:val="2"/>
        </w:numPr>
        <w:spacing w:after="60" w:line="252"/>
      </w:pPr>
      <w:r>
        <w:rPr>
          <w:rFonts w:ascii="Calibri" w:cs="Calibri" w:eastAsia="Calibri" w:hAnsi="Calibri"/>
          <w:color w:val="222222"/>
          <w:sz w:val="21"/>
          <w:szCs w:val="21"/>
        </w:rPr>
        <w:t xml:space="preserve">Limited multidisciplinarity, no explicit multiple entry-exit or Academic Bank of Credits alignment.</w:t>
      </w:r>
    </w:p>
    <w:p>
      <w:pPr>
        <w:pStyle w:val="Heading2"/>
        <w:spacing w:after="120" w:before="220"/>
      </w:pPr>
      <w:r>
        <w:rPr>
          <w:rFonts w:ascii="Calibri" w:cs="Calibri" w:eastAsia="Calibri" w:hAnsi="Calibri"/>
          <w:b/>
          <w:bCs/>
          <w:color w:val="B85042"/>
          <w:sz w:val="26"/>
          <w:szCs w:val="26"/>
        </w:rPr>
        <w:t xml:space="preserve">4.3  Shortcomings (Discipline-Specific)</w:t>
      </w:r>
    </w:p>
    <w:tbl>
      <w:tblPr>
        <w:tblW w:type="dxa" w:w="13680"/>
        <w:tblBorders>
          <w:top w:val="single" w:color="auto" w:sz="4"/>
          <w:left w:val="single" w:color="auto" w:sz="4"/>
          <w:bottom w:val="single" w:color="auto" w:sz="4"/>
          <w:right w:val="single" w:color="auto" w:sz="4"/>
          <w:insideH w:val="single" w:color="auto" w:sz="4"/>
          <w:insideV w:val="single" w:color="auto" w:sz="4"/>
        </w:tblBorders>
      </w:tblPr>
      <w:tblGrid>
        <w:gridCol w:w="2400"/>
        <w:gridCol w:w="5640"/>
        <w:gridCol w:w="5640"/>
      </w:tblGrid>
      <w:tr>
        <w:trPr>
          <w:tblHeader/>
        </w:trPr>
        <w:tc>
          <w:tcPr>
            <w:tcW w:type="dxa" w:w="2400"/>
            <w:tcBorders>
              <w:top w:val="single" w:color="BFCAD8" w:sz="4"/>
              <w:left w:val="single" w:color="BFCAD8" w:sz="4"/>
              <w:bottom w:val="single" w:color="BFCAD8" w:sz="4"/>
              <w:right w:val="single" w:color="BFCAD8" w:sz="4"/>
            </w:tcBorders>
            <w:shd w:fill="1E2761" w:color="auto" w:val="clear"/>
            <w:tcMar>
              <w:top w:type="dxa" w:w="70"/>
              <w:left w:type="dxa" w:w="110"/>
              <w:bottom w:type="dxa" w:w="70"/>
              <w:right w:type="dxa" w:w="110"/>
            </w:tcMar>
          </w:tcPr>
          <w:p>
            <w:pPr>
              <w:jc w:val="center"/>
            </w:pPr>
            <w:r>
              <w:rPr>
                <w:rFonts w:ascii="Calibri" w:cs="Calibri" w:eastAsia="Calibri" w:hAnsi="Calibri"/>
                <w:b/>
                <w:bCs/>
                <w:color w:val="FFFFFF"/>
                <w:sz w:val="19"/>
                <w:szCs w:val="19"/>
              </w:rPr>
              <w:t xml:space="preserve">Discipline</w:t>
            </w:r>
          </w:p>
        </w:tc>
        <w:tc>
          <w:tcPr>
            <w:tcW w:type="dxa" w:w="5640"/>
            <w:tcBorders>
              <w:top w:val="single" w:color="BFCAD8" w:sz="4"/>
              <w:left w:val="single" w:color="BFCAD8" w:sz="4"/>
              <w:bottom w:val="single" w:color="BFCAD8" w:sz="4"/>
              <w:right w:val="single" w:color="BFCAD8" w:sz="4"/>
            </w:tcBorders>
            <w:shd w:fill="1E2761" w:color="auto" w:val="clear"/>
            <w:tcMar>
              <w:top w:type="dxa" w:w="70"/>
              <w:left w:type="dxa" w:w="110"/>
              <w:bottom w:type="dxa" w:w="70"/>
              <w:right w:type="dxa" w:w="110"/>
            </w:tcMar>
          </w:tcPr>
          <w:p>
            <w:pPr>
              <w:jc w:val="center"/>
            </w:pPr>
            <w:r>
              <w:rPr>
                <w:rFonts w:ascii="Calibri" w:cs="Calibri" w:eastAsia="Calibri" w:hAnsi="Calibri"/>
                <w:b/>
                <w:bCs/>
                <w:color w:val="FFFFFF"/>
                <w:sz w:val="19"/>
                <w:szCs w:val="19"/>
              </w:rPr>
              <w:t xml:space="preserve">Key Shortcoming</w:t>
            </w:r>
          </w:p>
        </w:tc>
        <w:tc>
          <w:tcPr>
            <w:tcW w:type="dxa" w:w="5640"/>
            <w:tcBorders>
              <w:top w:val="single" w:color="BFCAD8" w:sz="4"/>
              <w:left w:val="single" w:color="BFCAD8" w:sz="4"/>
              <w:bottom w:val="single" w:color="BFCAD8" w:sz="4"/>
              <w:right w:val="single" w:color="BFCAD8" w:sz="4"/>
            </w:tcBorders>
            <w:shd w:fill="1E2761" w:color="auto" w:val="clear"/>
            <w:tcMar>
              <w:top w:type="dxa" w:w="70"/>
              <w:left w:type="dxa" w:w="110"/>
              <w:bottom w:type="dxa" w:w="70"/>
              <w:right w:type="dxa" w:w="110"/>
            </w:tcMar>
          </w:tcPr>
          <w:p>
            <w:pPr>
              <w:jc w:val="center"/>
            </w:pPr>
            <w:r>
              <w:rPr>
                <w:rFonts w:ascii="Calibri" w:cs="Calibri" w:eastAsia="Calibri" w:hAnsi="Calibri"/>
                <w:b/>
                <w:bCs/>
                <w:color w:val="FFFFFF"/>
                <w:sz w:val="19"/>
                <w:szCs w:val="19"/>
              </w:rPr>
              <w:t xml:space="preserve">Priority Remedy</w:t>
            </w:r>
          </w:p>
        </w:tc>
      </w:tr>
      <w:tr>
        <w:trPr>
          <w:tblHeader w:val="false"/>
        </w:trPr>
        <w:tc>
          <w:tcPr>
            <w:tcW w:type="dxa" w:w="240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Hindi / Bengali / Bhojpuri</w:t>
            </w:r>
          </w:p>
        </w:tc>
        <w:tc>
          <w:tcPr>
            <w:tcW w:type="dxa" w:w="564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Almost no skill, applied, digital or employability dimension; outcomes absent.</w:t>
            </w:r>
          </w:p>
        </w:tc>
        <w:tc>
          <w:tcPr>
            <w:tcW w:type="dxa" w:w="564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Add COs, language-technology / translation / digital-humanities &amp; internship electives.</w:t>
            </w:r>
          </w:p>
        </w:tc>
      </w:tr>
      <w:tr>
        <w:trPr>
          <w:tblHeader w:val="false"/>
        </w:trPr>
        <w:tc>
          <w:tcPr>
            <w:tcW w:type="dxa" w:w="2400"/>
            <w:tcBorders>
              <w:top w:val="single" w:color="BFCAD8" w:sz="4"/>
              <w:left w:val="single" w:color="BFCAD8" w:sz="4"/>
              <w:bottom w:val="single" w:color="BFCAD8" w:sz="4"/>
              <w:right w:val="single" w:color="BFCAD8" w:sz="4"/>
            </w:tcBorders>
            <w:shd w:fill="FFFFFF"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AIHC</w:t>
            </w:r>
          </w:p>
        </w:tc>
        <w:tc>
          <w:tcPr>
            <w:tcW w:type="dxa" w:w="5640"/>
            <w:tcBorders>
              <w:top w:val="single" w:color="BFCAD8" w:sz="4"/>
              <w:left w:val="single" w:color="BFCAD8" w:sz="4"/>
              <w:bottom w:val="single" w:color="BFCAD8" w:sz="4"/>
              <w:right w:val="single" w:color="BFCAD8" w:sz="4"/>
            </w:tcBorders>
            <w:shd w:fill="FFFFFF"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Theory-heavy; weak fieldwork, museology, heritage-industry and outcome statements.</w:t>
            </w:r>
          </w:p>
        </w:tc>
        <w:tc>
          <w:tcPr>
            <w:tcW w:type="dxa" w:w="5640"/>
            <w:tcBorders>
              <w:top w:val="single" w:color="BFCAD8" w:sz="4"/>
              <w:left w:val="single" w:color="BFCAD8" w:sz="4"/>
              <w:bottom w:val="single" w:color="BFCAD8" w:sz="4"/>
              <w:right w:val="single" w:color="BFCAD8" w:sz="4"/>
            </w:tcBorders>
            <w:shd w:fill="FFFFFF"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Introduce field projects, archival/IKS-applied skill courses and COs.</w:t>
            </w:r>
          </w:p>
        </w:tc>
      </w:tr>
      <w:tr>
        <w:trPr>
          <w:tblHeader w:val="false"/>
        </w:trPr>
        <w:tc>
          <w:tcPr>
            <w:tcW w:type="dxa" w:w="240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Economics</w:t>
            </w:r>
          </w:p>
        </w:tc>
        <w:tc>
          <w:tcPr>
            <w:tcW w:type="dxa" w:w="564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No practicals, software (econometrics/data) or field linkage; COs missing.</w:t>
            </w:r>
          </w:p>
        </w:tc>
        <w:tc>
          <w:tcPr>
            <w:tcW w:type="dxa" w:w="564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Add data-analytics/econometrics lab, policy projects and CO-PO mapping.</w:t>
            </w:r>
          </w:p>
        </w:tc>
      </w:tr>
      <w:tr>
        <w:trPr>
          <w:tblHeader w:val="false"/>
        </w:trPr>
        <w:tc>
          <w:tcPr>
            <w:tcW w:type="dxa" w:w="2400"/>
            <w:tcBorders>
              <w:top w:val="single" w:color="BFCAD8" w:sz="4"/>
              <w:left w:val="single" w:color="BFCAD8" w:sz="4"/>
              <w:bottom w:val="single" w:color="BFCAD8" w:sz="4"/>
              <w:right w:val="single" w:color="BFCAD8" w:sz="4"/>
            </w:tcBorders>
            <w:shd w:fill="FFFFFF"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Commerce &amp; Management</w:t>
            </w:r>
          </w:p>
        </w:tc>
        <w:tc>
          <w:tcPr>
            <w:tcW w:type="dxa" w:w="5640"/>
            <w:tcBorders>
              <w:top w:val="single" w:color="BFCAD8" w:sz="4"/>
              <w:left w:val="single" w:color="BFCAD8" w:sz="4"/>
              <w:bottom w:val="single" w:color="BFCAD8" w:sz="4"/>
              <w:right w:val="single" w:color="BFCAD8" w:sz="4"/>
            </w:tcBorders>
            <w:shd w:fill="FFFFFF"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Updated content but no COs, analytics or experiential learning.</w:t>
            </w:r>
          </w:p>
        </w:tc>
        <w:tc>
          <w:tcPr>
            <w:tcW w:type="dxa" w:w="5640"/>
            <w:tcBorders>
              <w:top w:val="single" w:color="BFCAD8" w:sz="4"/>
              <w:left w:val="single" w:color="BFCAD8" w:sz="4"/>
              <w:bottom w:val="single" w:color="BFCAD8" w:sz="4"/>
              <w:right w:val="single" w:color="BFCAD8" w:sz="4"/>
            </w:tcBorders>
            <w:shd w:fill="FFFFFF"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Add COs, accounting/tax software, live projects and case methods.</w:t>
            </w:r>
          </w:p>
        </w:tc>
      </w:tr>
      <w:tr>
        <w:trPr>
          <w:tblHeader w:val="false"/>
        </w:trPr>
        <w:tc>
          <w:tcPr>
            <w:tcW w:type="dxa" w:w="240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Geography</w:t>
            </w:r>
          </w:p>
        </w:tc>
        <w:tc>
          <w:tcPr>
            <w:tcW w:type="dxa" w:w="564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Good structure but outcomes and digital (GIS/RS) emphasis under-stated.</w:t>
            </w:r>
          </w:p>
        </w:tc>
        <w:tc>
          <w:tcPr>
            <w:tcW w:type="dxa" w:w="564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Foreground GIS/Remote-Sensing skill courses and write COs.</w:t>
            </w:r>
          </w:p>
        </w:tc>
      </w:tr>
      <w:tr>
        <w:trPr>
          <w:tblHeader w:val="false"/>
        </w:trPr>
        <w:tc>
          <w:tcPr>
            <w:tcW w:type="dxa" w:w="2400"/>
            <w:tcBorders>
              <w:top w:val="single" w:color="BFCAD8" w:sz="4"/>
              <w:left w:val="single" w:color="BFCAD8" w:sz="4"/>
              <w:bottom w:val="single" w:color="BFCAD8" w:sz="4"/>
              <w:right w:val="single" w:color="BFCAD8" w:sz="4"/>
            </w:tcBorders>
            <w:shd w:fill="FFFFFF"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Botany</w:t>
            </w:r>
          </w:p>
        </w:tc>
        <w:tc>
          <w:tcPr>
            <w:tcW w:type="dxa" w:w="5640"/>
            <w:tcBorders>
              <w:top w:val="single" w:color="BFCAD8" w:sz="4"/>
              <w:left w:val="single" w:color="BFCAD8" w:sz="4"/>
              <w:bottom w:val="single" w:color="BFCAD8" w:sz="4"/>
              <w:right w:val="single" w:color="BFCAD8" w:sz="4"/>
            </w:tcBorders>
            <w:shd w:fill="FFFFFF"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Practical strength not tied to stated outcomes / attainment.</w:t>
            </w:r>
          </w:p>
        </w:tc>
        <w:tc>
          <w:tcPr>
            <w:tcW w:type="dxa" w:w="5640"/>
            <w:tcBorders>
              <w:top w:val="single" w:color="BFCAD8" w:sz="4"/>
              <w:left w:val="single" w:color="BFCAD8" w:sz="4"/>
              <w:bottom w:val="single" w:color="BFCAD8" w:sz="4"/>
              <w:right w:val="single" w:color="BFCAD8" w:sz="4"/>
            </w:tcBorders>
            <w:shd w:fill="FFFFFF"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Map labs to COs; add biotech/field/industry-linked components.</w:t>
            </w:r>
          </w:p>
        </w:tc>
      </w:tr>
      <w:tr>
        <w:trPr>
          <w:tblHeader w:val="false"/>
        </w:trPr>
        <w:tc>
          <w:tcPr>
            <w:tcW w:type="dxa" w:w="240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MBA</w:t>
            </w:r>
          </w:p>
        </w:tc>
        <w:tc>
          <w:tcPr>
            <w:tcW w:type="dxa" w:w="564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Strong design but lacks formal CO-PO attainment &amp; analytics tracking.</w:t>
            </w:r>
          </w:p>
        </w:tc>
        <w:tc>
          <w:tcPr>
            <w:tcW w:type="dxa" w:w="5640"/>
            <w:tcBorders>
              <w:top w:val="single" w:color="BFCAD8" w:sz="4"/>
              <w:left w:val="single" w:color="BFCAD8" w:sz="4"/>
              <w:bottom w:val="single" w:color="BFCAD8" w:sz="4"/>
              <w:right w:val="single" w:color="BFCAD8" w:sz="4"/>
            </w:tcBorders>
            <w:shd w:fill="EAF0F8" w:color="auto" w:val="clear"/>
            <w:tcMar>
              <w:top w:type="dxa" w:w="70"/>
              <w:left w:type="dxa" w:w="110"/>
              <w:bottom w:type="dxa" w:w="70"/>
              <w:right w:type="dxa" w:w="110"/>
            </w:tcMar>
          </w:tcPr>
          <w:p>
            <w:pPr>
              <w:jc w:val="left"/>
            </w:pPr>
            <w:r>
              <w:rPr>
                <w:rFonts w:ascii="Calibri" w:cs="Calibri" w:eastAsia="Calibri" w:hAnsi="Calibri"/>
                <w:b w:val="false"/>
                <w:bCs w:val="false"/>
                <w:color w:val="222222"/>
                <w:sz w:val="19"/>
                <w:szCs w:val="19"/>
              </w:rPr>
              <w:t xml:space="preserve">Formalise OBE matrices and LMS-based attainment dashboards.</w:t>
            </w:r>
          </w:p>
        </w:tc>
      </w:tr>
    </w:tbl>
    <w:p>
      <w:pPr>
        <w:pStyle w:val="Heading1"/>
        <w:spacing w:after="160" w:before="320"/>
      </w:pPr>
      <w:r>
        <w:rPr>
          <w:rFonts w:ascii="Calibri" w:cs="Calibri" w:eastAsia="Calibri" w:hAnsi="Calibri"/>
          <w:b/>
          <w:bCs/>
          <w:color w:val="1E2761"/>
          <w:sz w:val="30"/>
          <w:szCs w:val="30"/>
        </w:rPr>
        <w:t xml:space="preserve">5.  Recommendations — Toward Applied, Outcome-Based, Socially Relevant Education</w:t>
      </w:r>
    </w:p>
    <w:p>
      <w:pPr>
        <w:pStyle w:val="ListParagraph"/>
        <w:numPr>
          <w:ilvl w:val="0"/>
          <w:numId w:val="3"/>
        </w:numPr>
        <w:spacing w:after="60" w:line="252"/>
      </w:pPr>
      <w:r>
        <w:rPr>
          <w:rFonts w:ascii="Calibri" w:cs="Calibri" w:eastAsia="Calibri" w:hAnsi="Calibri"/>
          <w:color w:val="222222"/>
          <w:sz w:val="21"/>
          <w:szCs w:val="21"/>
        </w:rPr>
        <w:t xml:space="preserve">Write measurable Programme Outcomes, PSOs and Course Outcomes for every course using Bloom action verbs, and publish a CO-PO mapping matrix.</w:t>
      </w:r>
    </w:p>
    <w:p>
      <w:pPr>
        <w:pStyle w:val="ListParagraph"/>
        <w:numPr>
          <w:ilvl w:val="0"/>
          <w:numId w:val="3"/>
        </w:numPr>
        <w:spacing w:after="60" w:line="252"/>
      </w:pPr>
      <w:r>
        <w:rPr>
          <w:rFonts w:ascii="Calibri" w:cs="Calibri" w:eastAsia="Calibri" w:hAnsi="Calibri"/>
          <w:color w:val="222222"/>
          <w:sz w:val="21"/>
          <w:szCs w:val="21"/>
        </w:rPr>
        <w:t xml:space="preserve">Rebalance cognitive levels by embedding analysis, evaluation and creation tasks — seminars, term papers, mini-projects, dissertations and design assignments.</w:t>
      </w:r>
    </w:p>
    <w:p>
      <w:pPr>
        <w:pStyle w:val="ListParagraph"/>
        <w:numPr>
          <w:ilvl w:val="0"/>
          <w:numId w:val="3"/>
        </w:numPr>
        <w:spacing w:after="60" w:line="252"/>
      </w:pPr>
      <w:r>
        <w:rPr>
          <w:rFonts w:ascii="Calibri" w:cs="Calibri" w:eastAsia="Calibri" w:hAnsi="Calibri"/>
          <w:color w:val="222222"/>
          <w:sz w:val="21"/>
          <w:szCs w:val="21"/>
        </w:rPr>
        <w:t xml:space="preserve">Specify the teaching-learning plan per course: lecture, tutorial, practical, mentoring and self-study hours, with a documented mentor-mentee system.</w:t>
      </w:r>
    </w:p>
    <w:p>
      <w:pPr>
        <w:pStyle w:val="ListParagraph"/>
        <w:numPr>
          <w:ilvl w:val="0"/>
          <w:numId w:val="3"/>
        </w:numPr>
        <w:spacing w:after="60" w:line="252"/>
      </w:pPr>
      <w:r>
        <w:rPr>
          <w:rFonts w:ascii="Calibri" w:cs="Calibri" w:eastAsia="Calibri" w:hAnsi="Calibri"/>
          <w:color w:val="222222"/>
          <w:sz w:val="21"/>
          <w:szCs w:val="21"/>
        </w:rPr>
        <w:t xml:space="preserve">Add applied, skill and experiential components to every discipline — internships, fieldwork, lab/software, community engagement and value-added courses — extending the MBA/Botany model to arts and languages.</w:t>
      </w:r>
    </w:p>
    <w:p>
      <w:pPr>
        <w:pStyle w:val="ListParagraph"/>
        <w:numPr>
          <w:ilvl w:val="0"/>
          <w:numId w:val="3"/>
        </w:numPr>
        <w:spacing w:after="60" w:line="252"/>
      </w:pPr>
      <w:r>
        <w:rPr>
          <w:rFonts w:ascii="Calibri" w:cs="Calibri" w:eastAsia="Calibri" w:hAnsi="Calibri"/>
          <w:color w:val="222222"/>
          <w:sz w:val="21"/>
          <w:szCs w:val="21"/>
        </w:rPr>
        <w:t xml:space="preserve">Integrate ICT and a Learning Management System to deliver blended learning and to enable digital CO-attainment dashboards, learner analytics and Academic Bank of Credits / DigiLocker readiness.</w:t>
      </w:r>
    </w:p>
    <w:p>
      <w:pPr>
        <w:pStyle w:val="ListParagraph"/>
        <w:numPr>
          <w:ilvl w:val="0"/>
          <w:numId w:val="3"/>
        </w:numPr>
        <w:spacing w:after="60" w:line="252"/>
      </w:pPr>
      <w:r>
        <w:rPr>
          <w:rFonts w:ascii="Calibri" w:cs="Calibri" w:eastAsia="Calibri" w:hAnsi="Calibri"/>
          <w:color w:val="222222"/>
          <w:sz w:val="21"/>
          <w:szCs w:val="21"/>
        </w:rPr>
        <w:t xml:space="preserve">Strengthen NEP multidisciplinarity: broaden generic-elective baskets, align with multiple entry/exit, and convert Indian Knowledge Systems content into contemporary, employable outcomes.</w:t>
      </w:r>
    </w:p>
    <w:p>
      <w:pPr>
        <w:pStyle w:val="ListParagraph"/>
        <w:numPr>
          <w:ilvl w:val="0"/>
          <w:numId w:val="3"/>
        </w:numPr>
        <w:spacing w:after="60" w:line="252"/>
      </w:pPr>
      <w:r>
        <w:rPr>
          <w:rFonts w:ascii="Calibri" w:cs="Calibri" w:eastAsia="Calibri" w:hAnsi="Calibri"/>
          <w:color w:val="222222"/>
          <w:sz w:val="21"/>
          <w:szCs w:val="21"/>
        </w:rPr>
        <w:t xml:space="preserve">Institutionalise periodic, stakeholder-driven curriculum revision with documented feedback to satisfy NAAC criteria.</w:t>
      </w:r>
    </w:p>
    <w:p>
      <w:pPr>
        <w:pBdr>
          <w:top w:val="single" w:color="1E2761" w:sz="6" w:space="6"/>
        </w:pBdr>
        <w:spacing w:after="0" w:before="280"/>
      </w:pPr>
      <w:r>
        <w:rPr>
          <w:rFonts w:ascii="Calibri" w:cs="Calibri" w:eastAsia="Calibri" w:hAnsi="Calibri"/>
          <w:b/>
          <w:bCs/>
          <w:color w:val="1E2761"/>
          <w:sz w:val="21"/>
          <w:szCs w:val="21"/>
        </w:rPr>
        <w:t xml:space="preserve">Overall verdict: </w:t>
      </w:r>
      <w:r>
        <w:rPr>
          <w:rFonts w:ascii="Calibri" w:cs="Calibri" w:eastAsia="Calibri" w:hAnsi="Calibri"/>
          <w:color w:val="222222"/>
          <w:sz w:val="21"/>
          <w:szCs w:val="21"/>
        </w:rPr>
        <w:t xml:space="preserve">The BRABU post-graduate syllabi are structurally UGC/CBCS-compliant and academically substantial, but pedagogically transitional. Their decisive gap is the absence of outcome-based design (COs/PSOs, CO-PO mapping, Bloom-graded objectives) and applied/digital components in the arts and language streams. Adding these elements — already partly modelled by the MBA, Botany and Geography programmes — would make the curriculum NEP 2020-aligned, NAAC-scorable, digitally trackable and genuinely socially relevant.</w:t>
      </w:r>
    </w:p>
    <w:sectPr>
      <w:headerReference w:type="default" r:id="rId7"/>
      <w:footerReference w:type="default" r:id="rId8"/>
      <w:pgSz w:w="15840" w:h="12240" w:orient="landscape"/>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55555"/>
        <w:sz w:val="16"/>
        <w:szCs w:val="16"/>
      </w:rPr>
      <w:t xml:space="preserve">Page </w:t>
    </w:r>
    <w:r>
      <w:rPr>
        <w:rFonts w:ascii="Calibri" w:cs="Calibri" w:eastAsia="Calibri" w:hAnsi="Calibri"/>
        <w:color w:val="555555"/>
        <w:sz w:val="16"/>
        <w:szCs w:val="16"/>
      </w:rPr>
      <w:fldChar w:fldCharType="begin"/>
      <w:instrText xml:space="preserve">PAGE</w:instrText>
      <w:fldChar w:fldCharType="separate"/>
      <w:fldChar w:fldCharType="end"/>
    </w:r>
    <w:r>
      <w:rPr>
        <w:rFonts w:ascii="Calibri" w:cs="Calibri" w:eastAsia="Calibri" w:hAnsi="Calibri"/>
        <w:color w:val="555555"/>
        <w:sz w:val="16"/>
        <w:szCs w:val="16"/>
      </w:rPr>
      <w:t xml:space="preserve"> of </w:t>
    </w:r>
    <w:r>
      <w:rPr>
        <w:rFonts w:ascii="Calibri" w:cs="Calibri" w:eastAsia="Calibri" w:hAnsi="Calibri"/>
        <w:color w:val="555555"/>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i/>
        <w:iCs/>
        <w:color w:val="555555"/>
        <w:sz w:val="16"/>
        <w:szCs w:val="16"/>
      </w:rPr>
      <w:t xml:space="preserve">BRABU Muzaffarpur — Critical Syllabus Analysis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Syllabus Analysis</dc:creator>
  <cp:lastModifiedBy>Un-named</cp:lastModifiedBy>
  <cp:revision>1</cp:revision>
  <dcterms:created xsi:type="dcterms:W3CDTF">2026-06-09T14:15:39.005Z</dcterms:created>
  <dcterms:modified xsi:type="dcterms:W3CDTF">2026-06-09T14:15:39.005Z</dcterms:modified>
</cp:coreProperties>
</file>

<file path=docProps/custom.xml><?xml version="1.0" encoding="utf-8"?>
<Properties xmlns="http://schemas.openxmlformats.org/officeDocument/2006/custom-properties" xmlns:vt="http://schemas.openxmlformats.org/officeDocument/2006/docPropsVTypes"/>
</file>