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900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00"/>
        <w:gridCol w:w="3100"/>
        <w:gridCol w:w="2850"/>
        <w:gridCol w:w="3100"/>
        <w:gridCol w:w="2950"/>
        <w:gridCol w:w="3100"/>
        <w:gridCol w:w="1808"/>
      </w:tblGrid>
      <w:tr>
        <w:tc>
          <w:tcPr>
            <w:gridSpan w:val="7"/>
            <w:tcBorders>
              <w:top w:val="single" w:color="1F3864" w:sz="3"/>
              <w:left w:val="single" w:color="1F3864" w:sz="3"/>
              <w:bottom w:val="single" w:color="1F3864" w:sz="3"/>
              <w:right w:val="single" w:color="1F3864" w:sz="3"/>
            </w:tcBorders>
            <w:shd w:fill="1F3864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before="0"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AMU M.Ed. SYLLABUS (2023) — COMPARATIVE ANALYSIS REPORT</w:t>
            </w:r>
            <w:r>
              <w:rPr>
                <w:rFonts w:ascii="Arial" w:cs="Arial" w:eastAsia="Arial" w:hAnsi="Arial"/>
                <w:color w:val="AACCEE"/>
                <w:sz w:val="13"/>
                <w:szCs w:val="13"/>
              </w:rPr>
              <w:t xml:space="preserve">  |  Dept. of Education, Aligarh Muslim University  |  Legal Size One-Page Report  |  March 2026</w:t>
            </w:r>
          </w:p>
        </w:tc>
      </w:tr>
      <w:tr>
        <w:tc>
          <w:tcPr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5DA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COURSE / ASPECT</w:t>
            </w:r>
          </w:p>
        </w:tc>
        <w:tc>
          <w:tcPr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5DA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UGC NORMS</w:t>
            </w:r>
          </w:p>
        </w:tc>
        <w:tc>
          <w:tcPr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5DA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NEP 2020</w:t>
            </w:r>
          </w:p>
        </w:tc>
        <w:tc>
          <w:tcPr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5DA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NAAC / OBE (Criteria 1)</w:t>
            </w:r>
          </w:p>
        </w:tc>
        <w:tc>
          <w:tcPr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5DA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BLOOM'S TAXONOMY</w:t>
            </w:r>
          </w:p>
        </w:tc>
        <w:tc>
          <w:tcPr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5DA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BIBLIOGRAPHY RELEVANCE</w:t>
            </w:r>
          </w:p>
        </w:tc>
        <w:tc>
          <w:tcPr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2E5DA6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STATUS</w:t>
            </w:r>
          </w:p>
        </w:tc>
      </w:tr>
      <w:tr>
        <w:tc>
          <w:tcPr>
            <w:tcW w:type="dxa" w:w="2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6E4F0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b/>
                <w:bCs/>
                <w:color w:val="1F3864"/>
                <w:sz w:val="13"/>
                <w:szCs w:val="13"/>
              </w:rPr>
              <w:t xml:space="preserve">Programme Structure &amp; Credits</w:t>
            </w:r>
          </w:p>
        </w:tc>
        <w:tc>
          <w:tcPr>
            <w:tcW w:type="dxa" w:w="3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F4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sz w:val="12"/>
                <w:szCs w:val="12"/>
              </w:rPr>
              <w:t xml:space="preserve">✓ 4-credit CBCS pattern, 30:70 sessional ratio — fully meets UGC-CBCS M.Ed. framework</w:t>
            </w:r>
          </w:p>
        </w:tc>
        <w:tc>
          <w:tcPr>
            <w:tcW w:type="dxa" w:w="2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F4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sz w:val="12"/>
                <w:szCs w:val="12"/>
              </w:rPr>
              <w:t xml:space="preserve">✓ 2-year semester system aligns with NEP 2020 multi-disciplinary, flexible curriculum mandate</w:t>
            </w:r>
          </w:p>
        </w:tc>
        <w:tc>
          <w:tcPr>
            <w:tcW w:type="dxa" w:w="3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F4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sz w:val="12"/>
                <w:szCs w:val="12"/>
              </w:rPr>
              <w:t xml:space="preserve">✓ CO–PO mapping present in all courses; OBE framework systematically maintained throughout</w:t>
            </w:r>
          </w:p>
        </w:tc>
        <w:tc>
          <w:tcPr>
            <w:tcW w:type="dxa" w:w="29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F4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sz w:val="12"/>
                <w:szCs w:val="12"/>
              </w:rPr>
              <w:t xml:space="preserve">~ COs use action verbs but clustering at L1–L3 (Remember–Apply); limited L4–L6 verbs across courses</w:t>
            </w:r>
          </w:p>
        </w:tc>
        <w:tc>
          <w:tcPr>
            <w:tcW w:type="dxa" w:w="3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F4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sz w:val="12"/>
                <w:szCs w:val="12"/>
              </w:rPr>
              <w:t xml:space="preserve">✗ Most references dated 1955–2004; NEP 2020, NCTE 2014, NCFSE 2023 documents absent</w:t>
            </w:r>
          </w:p>
        </w:tc>
        <w:tc>
          <w:tcPr>
            <w:tcW w:type="dxa" w:w="1808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2CC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7F4C00"/>
                <w:sz w:val="13"/>
                <w:szCs w:val="13"/>
              </w:rPr>
              <w:t xml:space="preserve">PARTIAL</w:t>
            </w:r>
          </w:p>
        </w:tc>
      </w:tr>
      <w:tr>
        <w:tc>
          <w:tcPr>
            <w:tcW w:type="dxa" w:w="2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6E4F0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b/>
                <w:bCs/>
                <w:color w:val="1F3864"/>
                <w:sz w:val="13"/>
                <w:szCs w:val="13"/>
              </w:rPr>
              <w:t xml:space="preserve">Philosophical &amp; Psychological Foundations</w:t>
            </w:r>
          </w:p>
        </w:tc>
        <w:tc>
          <w:tcPr>
            <w:tcW w:type="dxa" w:w="3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8FA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sz w:val="12"/>
                <w:szCs w:val="12"/>
              </w:rPr>
              <w:t xml:space="preserve">✓ MEM-1001/1002 cover western/Indian philosophy and psychology — compliant with UGC M.Ed. course structure</w:t>
            </w:r>
          </w:p>
        </w:tc>
        <w:tc>
          <w:tcPr>
            <w:tcW w:type="dxa" w:w="2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8FA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sz w:val="12"/>
                <w:szCs w:val="12"/>
              </w:rPr>
              <w:t xml:space="preserve">~ Indian schools (Vedanta, Buddhism, Jainism, Islam) included, but NEP 2020 values integration (citizenship, critical thinking) underexplored</w:t>
            </w:r>
          </w:p>
        </w:tc>
        <w:tc>
          <w:tcPr>
            <w:tcW w:type="dxa" w:w="3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8FA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sz w:val="12"/>
                <w:szCs w:val="12"/>
              </w:rPr>
              <w:t xml:space="preserve">✓ 6 COs mapped to PO10; clear OBE structure. Gap: CO2 in Curriculum Studies (MEM-3001) has NO PO mapping</w:t>
            </w:r>
          </w:p>
        </w:tc>
        <w:tc>
          <w:tcPr>
            <w:tcW w:type="dxa" w:w="29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8FA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sz w:val="12"/>
                <w:szCs w:val="12"/>
              </w:rPr>
              <w:t xml:space="preserve">~ MEM-1001 CO6 — 'critically analyse' (L4) is good; but CO1–CO4 are mostly L1–L2 (define, familiarise, comprehend)</w:t>
            </w:r>
          </w:p>
        </w:tc>
        <w:tc>
          <w:tcPr>
            <w:tcW w:type="dxa" w:w="3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8FA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sz w:val="12"/>
                <w:szCs w:val="12"/>
              </w:rPr>
              <w:t xml:space="preserve">✗ All 19 references are pre-2005; lacks contemporary works (e.g., Noddings 2015, Biesta 2010, recent NCERT philosophy docs)</w:t>
            </w:r>
          </w:p>
        </w:tc>
        <w:tc>
          <w:tcPr>
            <w:tcW w:type="dxa" w:w="1808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2CC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7F4C00"/>
                <w:sz w:val="13"/>
                <w:szCs w:val="13"/>
              </w:rPr>
              <w:t xml:space="preserve">PARTIAL</w:t>
            </w:r>
          </w:p>
        </w:tc>
      </w:tr>
      <w:tr>
        <w:tc>
          <w:tcPr>
            <w:tcW w:type="dxa" w:w="2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6E4F0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b/>
                <w:bCs/>
                <w:color w:val="1F3864"/>
                <w:sz w:val="13"/>
                <w:szCs w:val="13"/>
              </w:rPr>
              <w:t xml:space="preserve">Research Methods (MEM-1003)</w:t>
            </w:r>
          </w:p>
        </w:tc>
        <w:tc>
          <w:tcPr>
            <w:tcW w:type="dxa" w:w="3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F4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sz w:val="12"/>
                <w:szCs w:val="12"/>
              </w:rPr>
              <w:t xml:space="preserve">✓ Covers all UGC-mandated areas: quantitative, qualitative, action research, ethics — well-structured</w:t>
            </w:r>
          </w:p>
        </w:tc>
        <w:tc>
          <w:tcPr>
            <w:tcW w:type="dxa" w:w="2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F4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sz w:val="12"/>
                <w:szCs w:val="12"/>
              </w:rPr>
              <w:t xml:space="preserve">✓ Action research, e-research, mixed methods reflect NEP 2020 evidence-based practice emphasis</w:t>
            </w:r>
          </w:p>
        </w:tc>
        <w:tc>
          <w:tcPr>
            <w:tcW w:type="dxa" w:w="3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F4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sz w:val="12"/>
                <w:szCs w:val="12"/>
              </w:rPr>
              <w:t xml:space="preserve">✓ All 6 COs mapped to PO4 (research competency) — strong OBE alignment; CO3 uses 'distinguish and compare' (L4)</w:t>
            </w:r>
          </w:p>
        </w:tc>
        <w:tc>
          <w:tcPr>
            <w:tcW w:type="dxa" w:w="29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F4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sz w:val="12"/>
                <w:szCs w:val="12"/>
              </w:rPr>
              <w:t xml:space="preserve">✓ Best Bloom's coverage: 'apply', 'distinguish', 'comprehend', 'familiarize' — spans L1–L4 adequately</w:t>
            </w:r>
          </w:p>
        </w:tc>
        <w:tc>
          <w:tcPr>
            <w:tcW w:type="dxa" w:w="3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F4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sz w:val="12"/>
                <w:szCs w:val="12"/>
              </w:rPr>
              <w:t xml:space="preserve">~ Kothari &amp; Garg (2014) is latest entry; lacks post-2015 digital research/AI-assisted methodology texts</w:t>
            </w:r>
          </w:p>
        </w:tc>
        <w:tc>
          <w:tcPr>
            <w:tcW w:type="dxa" w:w="1808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2EFDA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375623"/>
                <w:sz w:val="13"/>
                <w:szCs w:val="13"/>
              </w:rPr>
              <w:t xml:space="preserve">GOOD</w:t>
            </w:r>
          </w:p>
        </w:tc>
      </w:tr>
      <w:tr>
        <w:tc>
          <w:tcPr>
            <w:tcW w:type="dxa" w:w="2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6E4F0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b/>
                <w:bCs/>
                <w:color w:val="1F3864"/>
                <w:sz w:val="13"/>
                <w:szCs w:val="13"/>
              </w:rPr>
              <w:t xml:space="preserve">Secondary &amp; Teacher Education</w:t>
            </w:r>
          </w:p>
        </w:tc>
        <w:tc>
          <w:tcPr>
            <w:tcW w:type="dxa" w:w="3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8FA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sz w:val="12"/>
                <w:szCs w:val="12"/>
              </w:rPr>
              <w:t xml:space="preserve">✓ MEM-1004 &amp; MEM-3003 align with UGC/NCTE M.Ed. regulations; covers commissions, CABE, NCERT structures</w:t>
            </w:r>
          </w:p>
        </w:tc>
        <w:tc>
          <w:tcPr>
            <w:tcW w:type="dxa" w:w="2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8FA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sz w:val="12"/>
                <w:szCs w:val="12"/>
              </w:rPr>
              <w:t xml:space="preserve">✓ NEP-2020, Justice Verma Commission (2012), integrated B.Ed. modes explicitly referenced in MEM-3003</w:t>
            </w:r>
          </w:p>
        </w:tc>
        <w:tc>
          <w:tcPr>
            <w:tcW w:type="dxa" w:w="3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8FA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sz w:val="12"/>
                <w:szCs w:val="12"/>
              </w:rPr>
              <w:t xml:space="preserve">~ MEM-3003 has CO6 mapped to PO3 only; CO1–CO5 to PO5 — limited diversity of PO coverage across course</w:t>
            </w:r>
          </w:p>
        </w:tc>
        <w:tc>
          <w:tcPr>
            <w:tcW w:type="dxa" w:w="29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8FA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sz w:val="12"/>
                <w:szCs w:val="12"/>
              </w:rPr>
              <w:t xml:space="preserve">~ CO3 ('recall'), CO1 ('explain'), CO2 ('familiarise') are L1–L2; CO6 ('critically evaluate') is L5 — uneven spread</w:t>
            </w:r>
          </w:p>
        </w:tc>
        <w:tc>
          <w:tcPr>
            <w:tcW w:type="dxa" w:w="3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8FA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sz w:val="12"/>
                <w:szCs w:val="12"/>
              </w:rPr>
              <w:t xml:space="preserve">✗ NCTE Regulations 2014, NCFTE 2009, NEP 2020 Teacher Education framework absent; oldest ref: Mukarji 1968</w:t>
            </w:r>
          </w:p>
        </w:tc>
        <w:tc>
          <w:tcPr>
            <w:tcW w:type="dxa" w:w="1808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2CC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7F4C00"/>
                <w:sz w:val="13"/>
                <w:szCs w:val="13"/>
              </w:rPr>
              <w:t xml:space="preserve">PARTIAL</w:t>
            </w:r>
          </w:p>
        </w:tc>
      </w:tr>
      <w:tr>
        <w:tc>
          <w:tcPr>
            <w:tcW w:type="dxa" w:w="2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6E4F0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b/>
                <w:bCs/>
                <w:color w:val="1F3864"/>
                <w:sz w:val="13"/>
                <w:szCs w:val="13"/>
              </w:rPr>
              <w:t xml:space="preserve">ICT in Education (MEM-3002)</w:t>
            </w:r>
          </w:p>
        </w:tc>
        <w:tc>
          <w:tcPr>
            <w:tcW w:type="dxa" w:w="3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F4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sz w:val="12"/>
                <w:szCs w:val="12"/>
              </w:rPr>
              <w:t xml:space="preserve">✓ OERs, MOOCs, AI, LMS, IPR, cloud computing — comprehensive and aligned with UGC ICT curriculum model</w:t>
            </w:r>
          </w:p>
        </w:tc>
        <w:tc>
          <w:tcPr>
            <w:tcW w:type="dxa" w:w="2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F4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sz w:val="12"/>
                <w:szCs w:val="12"/>
              </w:rPr>
              <w:t xml:space="preserve">✓ Strongest NEP 2020 alignment: Digital Pedagogy, NETF, Digital India, AI in education all explicitly included</w:t>
            </w:r>
          </w:p>
        </w:tc>
        <w:tc>
          <w:tcPr>
            <w:tcW w:type="dxa" w:w="3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F4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sz w:val="12"/>
                <w:szCs w:val="12"/>
              </w:rPr>
              <w:t xml:space="preserve">✓ All 5 COs mapped to PO6; 'analyse', 'critically evaluate' — best NAAC OBE quality among all courses</w:t>
            </w:r>
          </w:p>
        </w:tc>
        <w:tc>
          <w:tcPr>
            <w:tcW w:type="dxa" w:w="29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F4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sz w:val="12"/>
                <w:szCs w:val="12"/>
              </w:rPr>
              <w:t xml:space="preserve">✓ CO4 (analyse – L4), CO5 (critically evaluate – L5) — highest Bloom's level coverage in entire syllabus</w:t>
            </w:r>
          </w:p>
        </w:tc>
        <w:tc>
          <w:tcPr>
            <w:tcW w:type="dxa" w:w="3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F4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sz w:val="12"/>
                <w:szCs w:val="12"/>
              </w:rPr>
              <w:t xml:space="preserve">~ NCERT (2013) OER listed; however, post-2018 AI-in-education, generative AI, and data literacy texts missing</w:t>
            </w:r>
          </w:p>
        </w:tc>
        <w:tc>
          <w:tcPr>
            <w:tcW w:type="dxa" w:w="1808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2EFDA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375623"/>
                <w:sz w:val="13"/>
                <w:szCs w:val="13"/>
              </w:rPr>
              <w:t xml:space="preserve">GOOD</w:t>
            </w:r>
          </w:p>
        </w:tc>
      </w:tr>
      <w:tr>
        <w:tc>
          <w:tcPr>
            <w:tcW w:type="dxa" w:w="2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6E4F0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b/>
                <w:bCs/>
                <w:color w:val="1F3864"/>
                <w:sz w:val="13"/>
                <w:szCs w:val="13"/>
              </w:rPr>
              <w:t xml:space="preserve">Curriculum Studies (MEM-3001)</w:t>
            </w:r>
          </w:p>
        </w:tc>
        <w:tc>
          <w:tcPr>
            <w:tcW w:type="dxa" w:w="3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8FA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sz w:val="12"/>
                <w:szCs w:val="12"/>
              </w:rPr>
              <w:t xml:space="preserve">✓ Covers NCF, Bloom's Taxonomy, curriculum types — meets UGC PG education norms adequately</w:t>
            </w:r>
          </w:p>
        </w:tc>
        <w:tc>
          <w:tcPr>
            <w:tcW w:type="dxa" w:w="2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8FA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sz w:val="12"/>
                <w:szCs w:val="12"/>
              </w:rPr>
              <w:t xml:space="preserve">~ NEP 2020 curriculum framework, competency-based education, and multidisciplinary curriculum models not addressed</w:t>
            </w:r>
          </w:p>
        </w:tc>
        <w:tc>
          <w:tcPr>
            <w:tcW w:type="dxa" w:w="3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8FA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sz w:val="12"/>
                <w:szCs w:val="12"/>
              </w:rPr>
              <w:t xml:space="preserve">✗ CO2 has NO PO mapping at all — a direct OBE compliance gap; CO–PO table is incomplete for this course</w:t>
            </w:r>
          </w:p>
        </w:tc>
        <w:tc>
          <w:tcPr>
            <w:tcW w:type="dxa" w:w="29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8FA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sz w:val="12"/>
                <w:szCs w:val="12"/>
              </w:rPr>
              <w:t xml:space="preserve">~ CO4 ('critically evaluate') is L5; CO1, CO5, CO6 use 'comprehend/identify' — predominantly L1–L3</w:t>
            </w:r>
          </w:p>
        </w:tc>
        <w:tc>
          <w:tcPr>
            <w:tcW w:type="dxa" w:w="3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8FA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sz w:val="12"/>
                <w:szCs w:val="12"/>
              </w:rPr>
              <w:t xml:space="preserve">✗ Latest reference: Apple (2005); NCFSE 2023, NEP 2020 curriculum chapters, UDL frameworks completely absent</w:t>
            </w:r>
          </w:p>
        </w:tc>
        <w:tc>
          <w:tcPr>
            <w:tcW w:type="dxa" w:w="1808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E0E0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C00000"/>
                <w:sz w:val="13"/>
                <w:szCs w:val="13"/>
              </w:rPr>
              <w:t xml:space="preserve">WEAK</w:t>
            </w:r>
          </w:p>
        </w:tc>
      </w:tr>
      <w:tr>
        <w:tc>
          <w:tcPr>
            <w:tcW w:type="dxa" w:w="2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6E4F0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b/>
                <w:bCs/>
                <w:color w:val="1F3864"/>
                <w:sz w:val="13"/>
                <w:szCs w:val="13"/>
              </w:rPr>
              <w:t xml:space="preserve">Inclusive &amp; Special Education (MEM-1011)</w:t>
            </w:r>
          </w:p>
        </w:tc>
        <w:tc>
          <w:tcPr>
            <w:tcW w:type="dxa" w:w="3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F4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sz w:val="12"/>
                <w:szCs w:val="12"/>
              </w:rPr>
              <w:t xml:space="preserve">✓ PWD Act 1995, 2016; NPE-1986 included — broadly aligned with UGC inclusive education mandates</w:t>
            </w:r>
          </w:p>
        </w:tc>
        <w:tc>
          <w:tcPr>
            <w:tcW w:type="dxa" w:w="2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F4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sz w:val="12"/>
                <w:szCs w:val="12"/>
              </w:rPr>
              <w:t xml:space="preserve">✓ Addresses learning diversity for gifted, sensory-impaired, LD students — consistent with NEP 2020 equity goals</w:t>
            </w:r>
          </w:p>
        </w:tc>
        <w:tc>
          <w:tcPr>
            <w:tcW w:type="dxa" w:w="3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F4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sz w:val="12"/>
                <w:szCs w:val="12"/>
              </w:rPr>
              <w:t xml:space="preserve">✓ 6 COs consistently mapped to PO1; student-centric, inclusive learning perspective clearly articulated</w:t>
            </w:r>
          </w:p>
        </w:tc>
        <w:tc>
          <w:tcPr>
            <w:tcW w:type="dxa" w:w="29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F4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sz w:val="12"/>
                <w:szCs w:val="12"/>
              </w:rPr>
              <w:t xml:space="preserve">~ CO1 ('distinguish' – L2), CO3 ('apply' – L3), CO6 ('interpret' – L2); no L5/L6 outcomes; limited critical analysis</w:t>
            </w:r>
          </w:p>
        </w:tc>
        <w:tc>
          <w:tcPr>
            <w:tcW w:type="dxa" w:w="3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F4FB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sz w:val="12"/>
                <w:szCs w:val="12"/>
              </w:rPr>
              <w:t xml:space="preserve">✗ Mostly 1972–2007 texts; UDL frameworks, Salamanca Statement (1994), RPWD Act 2016 references missing</w:t>
            </w:r>
          </w:p>
        </w:tc>
        <w:tc>
          <w:tcPr>
            <w:tcW w:type="dxa" w:w="1808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F2CC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7F4C00"/>
                <w:sz w:val="13"/>
                <w:szCs w:val="13"/>
              </w:rPr>
              <w:t xml:space="preserve">PARTIAL</w:t>
            </w:r>
          </w:p>
        </w:tc>
      </w:tr>
      <w:tr>
        <w:tc>
          <w:tcPr>
            <w:tcW w:type="dxa" w:w="2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D6E4F0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b/>
                <w:bCs/>
                <w:color w:val="1F3864"/>
                <w:sz w:val="13"/>
                <w:szCs w:val="13"/>
              </w:rPr>
              <w:t xml:space="preserve">Electives (NFE, Distance, Women, Environment)</w:t>
            </w:r>
          </w:p>
        </w:tc>
        <w:tc>
          <w:tcPr>
            <w:tcW w:type="dxa" w:w="3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8FA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sz w:val="12"/>
                <w:szCs w:val="12"/>
              </w:rPr>
              <w:t xml:space="preserve">✓ Covers UGC-recommended elective areas: adult education, ODL, gender, environmental education</w:t>
            </w:r>
          </w:p>
        </w:tc>
        <w:tc>
          <w:tcPr>
            <w:tcW w:type="dxa" w:w="28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8FA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sz w:val="12"/>
                <w:szCs w:val="12"/>
              </w:rPr>
              <w:t xml:space="preserve">~ Women Education and Environmental Education align with NEP 2020 equity and SDG goals; NFE lacks NEP 2020 NIPUN references</w:t>
            </w:r>
          </w:p>
        </w:tc>
        <w:tc>
          <w:tcPr>
            <w:tcW w:type="dxa" w:w="3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8FA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sz w:val="12"/>
                <w:szCs w:val="12"/>
              </w:rPr>
              <w:t xml:space="preserve">~ All electives have CO–PO mapping; but electives carry only 2 credits vs. 4 for compulsory — parity concern for NAAC</w:t>
            </w:r>
          </w:p>
        </w:tc>
        <w:tc>
          <w:tcPr>
            <w:tcW w:type="dxa" w:w="295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8FA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sz w:val="12"/>
                <w:szCs w:val="12"/>
              </w:rPr>
              <w:t xml:space="preserve">✗ Elective COs dominated by L1–L2 verbs: 'familiarise', 'comprehend', 'appreciate', 'discuss' — no synthesis/creation</w:t>
            </w:r>
          </w:p>
        </w:tc>
        <w:tc>
          <w:tcPr>
            <w:tcW w:type="dxa" w:w="31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8FAFF" w:val="clear"/>
            <w:tcMar>
              <w:top w:type="dxa" w:w="55"/>
              <w:left w:type="dxa" w:w="90"/>
              <w:bottom w:type="dxa" w:w="55"/>
              <w:right w:type="dxa" w:w="90"/>
            </w:tcMar>
          </w:tcPr>
          <w:p>
            <w:pPr>
              <w:spacing w:before="0" w:after="0" w:line="220"/>
            </w:pPr>
            <w:r>
              <w:rPr>
                <w:rFonts w:ascii="Arial" w:cs="Arial" w:eastAsia="Arial" w:hAnsi="Arial"/>
                <w:sz w:val="12"/>
                <w:szCs w:val="12"/>
              </w:rPr>
              <w:t xml:space="preserve">✗ Most elective bibliographies pre-2005; UNSDG 2030 reports, UNESCO 2021 education reports, post-2015 gender literature absent</w:t>
            </w:r>
          </w:p>
        </w:tc>
        <w:tc>
          <w:tcPr>
            <w:tcW w:type="dxa" w:w="1808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FE0E0" w:val="clear"/>
            <w:tcMar>
              <w:top w:type="dxa" w:w="55"/>
              <w:left w:type="dxa" w:w="90"/>
              <w:bottom w:type="dxa" w:w="55"/>
              <w:right w:type="dxa" w:w="90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C00000"/>
                <w:sz w:val="13"/>
                <w:szCs w:val="13"/>
              </w:rPr>
              <w:t xml:space="preserve">WEAK</w:t>
            </w:r>
          </w:p>
        </w:tc>
      </w:tr>
      <w:tr>
        <w:tc>
          <w:tcPr>
            <w:gridSpan w:val="7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0F0F0" w:val="clear"/>
            <w:tcMar>
              <w:top w:type="dxa" w:w="50"/>
              <w:left w:type="dxa" w:w="120"/>
              <w:bottom w:type="dxa" w:w="50"/>
              <w:right w:type="dxa" w:w="120"/>
            </w:tcMar>
          </w:tcPr>
          <w:p>
            <w:pPr>
              <w:spacing w:before="0" w:after="0"/>
              <w:jc w:val="left"/>
            </w:pP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LEGEND:  </w:t>
            </w:r>
            <w:r>
              <w:rPr>
                <w:rFonts w:ascii="Arial" w:cs="Arial" w:eastAsia="Arial" w:hAnsi="Arial"/>
                <w:b/>
                <w:bCs/>
                <w:color w:val="375623"/>
                <w:sz w:val="13"/>
                <w:szCs w:val="13"/>
              </w:rPr>
              <w:t xml:space="preserve">✓ Fully Compliant  </w:t>
            </w:r>
            <w:r>
              <w:rPr>
                <w:rFonts w:ascii="Arial" w:cs="Arial" w:eastAsia="Arial" w:hAnsi="Arial"/>
                <w:b/>
                <w:bCs/>
                <w:color w:val="7F4C00"/>
                <w:sz w:val="13"/>
                <w:szCs w:val="13"/>
              </w:rPr>
              <w:t xml:space="preserve">~ Partially Compliant / Needs Improvement  </w:t>
            </w:r>
            <w:r>
              <w:rPr>
                <w:rFonts w:ascii="Arial" w:cs="Arial" w:eastAsia="Arial" w:hAnsi="Arial"/>
                <w:b/>
                <w:bCs/>
                <w:color w:val="C00000"/>
                <w:sz w:val="13"/>
                <w:szCs w:val="13"/>
              </w:rPr>
              <w:t xml:space="preserve">✗ Gap / Non-Compliant  </w:t>
            </w:r>
            <w:r>
              <w:rPr>
                <w:rFonts w:ascii="Arial" w:cs="Arial" w:eastAsia="Arial" w:hAnsi="Arial"/>
                <w:b/>
                <w:bCs/>
                <w:sz w:val="13"/>
                <w:szCs w:val="13"/>
              </w:rPr>
              <w:t xml:space="preserve"> | STATUS:  </w:t>
            </w:r>
            <w:r>
              <w:rPr>
                <w:rFonts w:ascii="Arial" w:cs="Arial" w:eastAsia="Arial" w:hAnsi="Arial"/>
                <w:b/>
                <w:bCs/>
                <w:color w:val="375623"/>
                <w:sz w:val="13"/>
                <w:szCs w:val="13"/>
              </w:rPr>
              <w:t xml:space="preserve">GOOD </w:t>
            </w:r>
            <w:r>
              <w:rPr>
                <w:rFonts w:ascii="Arial" w:cs="Arial" w:eastAsia="Arial" w:hAnsi="Arial"/>
                <w:b/>
                <w:bCs/>
                <w:color w:val="7F4C00"/>
                <w:sz w:val="13"/>
                <w:szCs w:val="13"/>
              </w:rPr>
              <w:t xml:space="preserve">PARTIAL </w:t>
            </w:r>
            <w:r>
              <w:rPr>
                <w:rFonts w:ascii="Arial" w:cs="Arial" w:eastAsia="Arial" w:hAnsi="Arial"/>
                <w:b/>
                <w:bCs/>
                <w:color w:val="C00000"/>
                <w:sz w:val="13"/>
                <w:szCs w:val="13"/>
              </w:rPr>
              <w:t xml:space="preserve">WEAK</w:t>
            </w:r>
            <w:r>
              <w:rPr>
                <w:rFonts w:ascii="Arial" w:cs="Arial" w:eastAsia="Arial" w:hAnsi="Arial"/>
                <w:color w:val="555555"/>
                <w:sz w:val="12"/>
                <w:szCs w:val="12"/>
              </w:rPr>
              <w:t xml:space="preserve">   |   Prepared: Academic Review Cell, March 2026</w:t>
            </w:r>
          </w:p>
        </w:tc>
      </w:tr>
    </w:tbl>
    <w:p>
      <w:pPr>
        <w:spacing w:before="120" w:after="80"/>
      </w:pPr>
    </w:p>
    <w:tbl>
      <w:tblPr>
        <w:tblW w:type="dxa" w:w="1900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4"/>
        <w:gridCol w:w="9504"/>
      </w:tblGrid>
      <w:tr>
        <w:tc>
          <w:tcPr>
            <w:tcBorders>
              <w:top w:val="single" w:color="1F3864" w:sz="3"/>
              <w:left w:val="single" w:color="1F3864" w:sz="3"/>
              <w:bottom w:val="single" w:color="1F3864" w:sz="3"/>
              <w:right w:val="single" w:color="1F3864" w:sz="3"/>
            </w:tcBorders>
            <w:shd w:fill="FFF2CC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before="0" w:after="60" w:line="220"/>
            </w:pPr>
            <w:r>
              <w:rPr>
                <w:rFonts w:ascii="Arial" w:cs="Arial" w:eastAsia="Arial" w:hAnsi="Arial"/>
                <w:b/>
                <w:bCs/>
                <w:color w:val="C00000"/>
                <w:sz w:val="14"/>
                <w:szCs w:val="14"/>
              </w:rPr>
              <w:t xml:space="preserve">⚠  KEY SHORTCOMINGS</w:t>
            </w:r>
          </w:p>
          <w:p>
            <w:pPr>
              <w:spacing w:before="0" w:after="40" w:line="220"/>
            </w:pPr>
            <w:r>
              <w:rPr>
                <w:rFonts w:ascii="Arial" w:cs="Arial" w:eastAsia="Arial" w:hAnsi="Arial"/>
                <w:color w:val="1A1A1A"/>
                <w:sz w:val="12"/>
                <w:szCs w:val="12"/>
              </w:rPr>
              <w:t xml:space="preserve">1. Bibliography critically outdated: 80%+ references pre-2005; NEP 2020, NCTE 2014, NCFSE 2023, RPWD 2016 documents absent.</w:t>
            </w:r>
          </w:p>
          <w:p>
            <w:pPr>
              <w:spacing w:before="0" w:after="40" w:line="220"/>
            </w:pPr>
            <w:r>
              <w:rPr>
                <w:rFonts w:ascii="Arial" w:cs="Arial" w:eastAsia="Arial" w:hAnsi="Arial"/>
                <w:color w:val="1A1A1A"/>
                <w:sz w:val="12"/>
                <w:szCs w:val="12"/>
              </w:rPr>
              <w:t xml:space="preserve">2. Bloom's Taxonomy skewed: COs cluster at L1–L3; L5 (Evaluate) and L6 (Create) verbs rare or absent in electives.</w:t>
            </w:r>
          </w:p>
          <w:p>
            <w:pPr>
              <w:spacing w:before="0" w:after="40" w:line="220"/>
            </w:pPr>
            <w:r>
              <w:rPr>
                <w:rFonts w:ascii="Arial" w:cs="Arial" w:eastAsia="Arial" w:hAnsi="Arial"/>
                <w:color w:val="1A1A1A"/>
                <w:sz w:val="12"/>
                <w:szCs w:val="12"/>
              </w:rPr>
              <w:t xml:space="preserve">3. OBE Gap: CO2 of MEM-3001 (Curriculum Studies) has no Programme Outcome mapping — a direct NAAC Criterion 1 violation.</w:t>
            </w:r>
          </w:p>
          <w:p>
            <w:pPr>
              <w:spacing w:before="0" w:after="40" w:line="220"/>
            </w:pPr>
            <w:r>
              <w:rPr>
                <w:rFonts w:ascii="Arial" w:cs="Arial" w:eastAsia="Arial" w:hAnsi="Arial"/>
                <w:color w:val="1A1A1A"/>
                <w:sz w:val="12"/>
                <w:szCs w:val="12"/>
              </w:rPr>
              <w:t xml:space="preserve">4. Elective credit imbalance: Electives carry only 2 credits vs. 4 for core courses; weak alignment with NAAC learning outcome standards.</w:t>
            </w:r>
          </w:p>
          <w:p>
            <w:pPr>
              <w:spacing w:before="0" w:after="40" w:line="220"/>
            </w:pPr>
            <w:r>
              <w:rPr>
                <w:rFonts w:ascii="Arial" w:cs="Arial" w:eastAsia="Arial" w:hAnsi="Arial"/>
                <w:color w:val="1A1A1A"/>
                <w:sz w:val="12"/>
                <w:szCs w:val="12"/>
              </w:rPr>
              <w:t xml:space="preserve">5. NEP 2020 integration is partial: Competency-based education, multidisciplinary learning, FLN/NIPUN, and AI in education absent in several courses.</w:t>
            </w:r>
          </w:p>
          <w:p>
            <w:pPr>
              <w:spacing w:before="0" w:after="40" w:line="220"/>
            </w:pPr>
            <w:r>
              <w:rPr>
                <w:rFonts w:ascii="Arial" w:cs="Arial" w:eastAsia="Arial" w:hAnsi="Arial"/>
                <w:color w:val="1A1A1A"/>
                <w:sz w:val="12"/>
                <w:szCs w:val="12"/>
              </w:rPr>
              <w:t xml:space="preserve">6. Assessment design gap: 30:70 pattern is structurally sound, but no HOTS-based assessment rubrics, no project-based or portfolio evaluation prescribed.</w:t>
            </w:r>
          </w:p>
        </w:tc>
        <w:tc>
          <w:tcPr>
            <w:tcBorders>
              <w:top w:val="single" w:color="1F3864" w:sz="3"/>
              <w:left w:val="single" w:color="1F3864" w:sz="3"/>
              <w:bottom w:val="single" w:color="1F3864" w:sz="3"/>
              <w:right w:val="single" w:color="1F3864" w:sz="3"/>
            </w:tcBorders>
            <w:shd w:fill="E2EFD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before="0" w:after="60" w:line="220"/>
            </w:pPr>
            <w:r>
              <w:rPr>
                <w:rFonts w:ascii="Arial" w:cs="Arial" w:eastAsia="Arial" w:hAnsi="Arial"/>
                <w:b/>
                <w:bCs/>
                <w:color w:val="375623"/>
                <w:sz w:val="14"/>
                <w:szCs w:val="14"/>
              </w:rPr>
              <w:t xml:space="preserve">✔  RECOMMENDATIONS FOR IMPROVEMENT</w:t>
            </w:r>
          </w:p>
          <w:p>
            <w:pPr>
              <w:spacing w:before="0" w:after="40" w:line="220"/>
            </w:pPr>
            <w:r>
              <w:rPr>
                <w:rFonts w:ascii="Arial" w:cs="Arial" w:eastAsia="Arial" w:hAnsi="Arial"/>
                <w:color w:val="1A1A1A"/>
                <w:sz w:val="12"/>
                <w:szCs w:val="12"/>
              </w:rPr>
              <w:t xml:space="preserve">1. Update Bibliography: Replace pre-2000 texts with post-2015 references; include NEP 2020, NCTE Regulations 2014, NCFSE 2023, RPWD 2016, UDL frameworks, UNESCO 2021 reports.</w:t>
            </w:r>
          </w:p>
          <w:p>
            <w:pPr>
              <w:spacing w:before="0" w:after="40" w:line="220"/>
            </w:pPr>
            <w:r>
              <w:rPr>
                <w:rFonts w:ascii="Arial" w:cs="Arial" w:eastAsia="Arial" w:hAnsi="Arial"/>
                <w:color w:val="1A1A1A"/>
                <w:sz w:val="12"/>
                <w:szCs w:val="12"/>
              </w:rPr>
              <w:t xml:space="preserve">2. Upgrade Bloom's Levels: Revise CO verbs to include at least 2 COs per course at L4–L6 (Analyse, Evaluate, Create) to strengthen NAAC OBE compliance.</w:t>
            </w:r>
          </w:p>
          <w:p>
            <w:pPr>
              <w:spacing w:before="0" w:after="40" w:line="220"/>
            </w:pPr>
            <w:r>
              <w:rPr>
                <w:rFonts w:ascii="Arial" w:cs="Arial" w:eastAsia="Arial" w:hAnsi="Arial"/>
                <w:color w:val="1A1A1A"/>
                <w:sz w:val="12"/>
                <w:szCs w:val="12"/>
              </w:rPr>
              <w:t xml:space="preserve">3. Fix CO–PO Gaps: Assign PO mapping to CO2 of MEM-3001 immediately; conduct a full CO–PO–PSO triangulation audit for all 11 courses.</w:t>
            </w:r>
          </w:p>
          <w:p>
            <w:pPr>
              <w:spacing w:before="0" w:after="40" w:line="220"/>
            </w:pPr>
            <w:r>
              <w:rPr>
                <w:rFonts w:ascii="Arial" w:cs="Arial" w:eastAsia="Arial" w:hAnsi="Arial"/>
                <w:color w:val="1A1A1A"/>
                <w:sz w:val="12"/>
                <w:szCs w:val="12"/>
              </w:rPr>
              <w:t xml:space="preserve">4. Elective Credit Revision: Increase elective credits to 4 or introduce Skill Enhancement Courses (SECs) per UGC-CBCS recommendations.</w:t>
            </w:r>
          </w:p>
          <w:p>
            <w:pPr>
              <w:spacing w:before="0" w:after="40" w:line="220"/>
            </w:pPr>
            <w:r>
              <w:rPr>
                <w:rFonts w:ascii="Arial" w:cs="Arial" w:eastAsia="Arial" w:hAnsi="Arial"/>
                <w:color w:val="1A1A1A"/>
                <w:sz w:val="12"/>
                <w:szCs w:val="12"/>
              </w:rPr>
              <w:t xml:space="preserve">5. Integrate NEP 2020 Imperatives: Add units on FLN, competency-based curriculum, AI-assisted pedagogy, and multidisciplinary approaches in core courses.</w:t>
            </w:r>
          </w:p>
          <w:p>
            <w:pPr>
              <w:spacing w:before="0" w:after="40" w:line="220"/>
            </w:pPr>
            <w:r>
              <w:rPr>
                <w:rFonts w:ascii="Arial" w:cs="Arial" w:eastAsia="Arial" w:hAnsi="Arial"/>
                <w:color w:val="1A1A1A"/>
                <w:sz w:val="12"/>
                <w:szCs w:val="12"/>
              </w:rPr>
              <w:t xml:space="preserve">6. Introduce HOTS-Based Assessment: Add case-based assignments, reflective journals, research portfolios, and rubric-graded seminars to operationalize OBE.</w:t>
            </w:r>
          </w:p>
        </w:tc>
      </w:tr>
    </w:tbl>
    <w:sectPr>
      <w:pgSz w:w="20160" w:h="12240" w:orient="portrait"/>
      <w:pgMar w:top="576" w:right="576" w:bottom="576" w:left="57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2026-03-25T11:39:58.281Z</dcterms:created>
  <dcterms:modified xsi:type="dcterms:W3CDTF">2026-03-25T11:39:58.282Z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